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02.10.2026  |  7 Studien  |  ki.m-vf.de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Noninvasive Glukosemonitoring per Wearable: Machine Learning zeigt hohe Genauigkeit</w:t>
      </w:r>
    </w:p>
    <w:p>
      <w:r>
        <w:rPr>
          <w:i/>
          <w:color w:val="666666"/>
          <w:sz w:val="18"/>
        </w:rPr>
        <w:t>Schmelter F et al.  ·  JMIR Mhealth Uhealth  ·  30.09.2026  ·  PMID 42814917</w:t>
      </w:r>
    </w:p>
    <w:p>
      <w:r>
        <w:t>Machine-Learning-Modell zur Vorhersage von Gewebeglukose aus tragbaren Sensoren (Empatica EmbracePlus, Fitbit Sense 2) bei gesunden Personen und solchen mit Übergewicht; prospektive Validierung über zwei Wochen mit invasivem Referenzmonitor.</w:t>
      </w:r>
    </w:p>
    <w:p>
      <w:r>
        <w:rPr>
          <w:b/>
        </w:rPr>
        <w:t xml:space="preserve">Ergebnis: </w:t>
      </w:r>
      <w:r>
        <w:t>Long-Short-Term-Memory-Netzwerk erreichte Root-Mean-Square-Error von 21,04 mg/dL; 98,3% der Vorhersagen in den klinisch akzeptablen Zonen A und B der Clarke-Fehleranalyse. Mit Smartwatch allein: RMSE 23,49 mg/dL. Ansatz zeigt praktisches Potenzial für mobile Prävention metabolischer 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Studienteilnehmer, vergleichbare Dokumentationspflichten in Wearable-gestützter mHealth.</w:t>
      </w:r>
    </w:p>
    <w:p>
      <w:r>
        <w:rPr>
          <w:color w:val="5A7D3A"/>
          <w:sz w:val="18"/>
        </w:rPr>
        <w:t>https://pubmed.ncbi.nlm.nih.gov/42814917/</w:t>
      </w:r>
    </w:p>
    <w:p>
      <w:pPr>
        <w:pStyle w:val="Heading2"/>
      </w:pPr>
      <w:r>
        <w:t>Prototyp-Usability für Mental-Health-App in Esports: Requirements und Test</w:t>
      </w:r>
    </w:p>
    <w:p>
      <w:r>
        <w:rPr>
          <w:i/>
          <w:color w:val="666666"/>
          <w:sz w:val="18"/>
        </w:rPr>
        <w:t>Stolberg L et al.  ·  JMIR Hum Factors  ·  30.09.2026  ·  PMID 42814879</w:t>
      </w:r>
    </w:p>
    <w:p>
      <w:r>
        <w:t>Dreistufige Entwicklung einer mHealth-App (MindAthlete) zur psychischen Gesundheit von Esports-Athleten: Experteninterviews (n=7), Prototype-Entwicklung, Usability-Test mit 25 semi-/professionellen Athleten.</w:t>
      </w:r>
    </w:p>
    <w:p>
      <w:r>
        <w:rPr>
          <w:b/>
        </w:rPr>
        <w:t xml:space="preserve">Ergebnis: </w:t>
      </w:r>
      <w:r>
        <w:t>System Usability Scale Median 77,5 (IQR 67,5–87,5), klassifiziert als 'gut' und über Benchmark vergleichbarer mHealth-Apps (68,3). Keine Unterschiede nach Geschlecht, Alter oder Erfahrung. Qualitatives Feedback zeigt intuitive Navigation und Ästhetik als Stärken; kürzere Animationen und besseres Onboarding als Verbesserungen.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Institution, Nutzerforschung transferierbar, Populationsspezifität beachten.</w:t>
      </w:r>
    </w:p>
    <w:p>
      <w:r>
        <w:rPr>
          <w:color w:val="5A7D3A"/>
          <w:sz w:val="18"/>
        </w:rPr>
        <w:t>https://pubmed.ncbi.nlm.nih.gov/42814879/</w:t>
      </w:r>
    </w:p>
    <w:p>
      <w:pPr>
        <w:pStyle w:val="Heading2"/>
      </w:pPr>
      <w:r>
        <w:t>Large Language Models zur Extraktion zeitlicher Relationen aus französischen Klinikberichten</w:t>
      </w:r>
    </w:p>
    <w:p>
      <w:r>
        <w:rPr>
          <w:i/>
          <w:color w:val="666666"/>
          <w:sz w:val="18"/>
        </w:rPr>
        <w:t>Bannour N et al.  ·  J Med Internet Res  ·  30.09.2026  ·  PMID 42814849</w:t>
      </w:r>
    </w:p>
    <w:p>
      <w:r>
        <w:t>Bewertung offener LLMs (vier Modelle) mittels Few-Shot-Prompting für die Extraktion und Normalisierung von zeitlichen Angaben zu Symptomen und Diagnosen in klinischen Narrativen; Validierung an realen französischen Patientendaten zu Seltenen Erkrankungen.</w:t>
      </w:r>
    </w:p>
    <w:p>
      <w:r>
        <w:rPr>
          <w:b/>
        </w:rPr>
        <w:t xml:space="preserve">Ergebnis: </w:t>
      </w:r>
      <w:r>
        <w:t>F1-Score von 0,72 für seltene Diagnosen und 0,61 für Phänotyp-Events; Normalisierung ohne relevante Fehlerfortpflanzung. Ansatz bewährt sich auch auf englischem i2b2-Corpus. LLM-as-a-Judge und menschliche Validierung bestätigen klinische Plausibilität.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Kliniksystem, FHIR-kompatibel, deutsches Gesundheitsdatenraumkonzept übertragbar.</w:t>
      </w:r>
    </w:p>
    <w:p>
      <w:r>
        <w:rPr>
          <w:color w:val="5A7D3A"/>
          <w:sz w:val="18"/>
        </w:rPr>
        <w:t>https://pubmed.ncbi.nlm.nih.gov/42814849/</w:t>
      </w:r>
    </w:p>
    <w:p>
      <w:pPr>
        <w:pStyle w:val="Heading2"/>
      </w:pPr>
      <w:r>
        <w:t>Digitale Gesundheit und Bindung von Fachkräften im ländlichen Raum: Systematische Übersicht</w:t>
      </w:r>
    </w:p>
    <w:p>
      <w:r>
        <w:rPr>
          <w:i/>
          <w:color w:val="666666"/>
          <w:sz w:val="18"/>
        </w:rPr>
        <w:t>Correia T et al.  ·  Eur J Public Health  ·  04.08.2026  ·  PMID 42811403</w:t>
      </w:r>
    </w:p>
    <w:p>
      <w:r>
        <w:t>Scoping Review von 55 Quellen (2015–2025) zu Auswirkungen von Telehealth, Tele-Education und Hybrid-Interventionen auf Verbleib, Entwicklung und Nachhaltigkeit von Fachkräften im ländlichen Gesundheitswesen.</w:t>
      </w:r>
    </w:p>
    <w:p>
      <w:r>
        <w:rPr>
          <w:b/>
        </w:rPr>
        <w:t xml:space="preserve">Ergebnis: </w:t>
      </w:r>
      <w:r>
        <w:t>Digitale Interventionen beeinflussen Fachaustausch, Supervision, Weiterbildung, klinisches Selbstvertrauen und Workflow-Unterstützung. Vier Redistributionspfade identifiziert (Arbeit, Autorität, Abhängigkeit, Infrastruktur-Risiko). Direkte Retentionsergebnisse selten; Fokus eher auf Determinanten als auf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WHO-europäisches System, direkt auf deutsche Flächenländer mit Fachkräftemangel übertragbar.</w:t>
      </w:r>
    </w:p>
    <w:p>
      <w:r>
        <w:rPr>
          <w:color w:val="5A7D3A"/>
          <w:sz w:val="18"/>
        </w:rPr>
        <w:t>https://pubmed.ncbi.nlm.nih.gov/42811403/</w:t>
      </w:r>
    </w:p>
    <w:p>
      <w:pPr>
        <w:pStyle w:val="Heading2"/>
      </w:pPr>
      <w:r>
        <w:t>LLM-generierte Essensplan: Moderate Konformität mit polnischen Ernährungsrichtlinien</w:t>
      </w:r>
    </w:p>
    <w:p>
      <w:r>
        <w:rPr>
          <w:i/>
          <w:color w:val="666666"/>
          <w:sz w:val="18"/>
        </w:rPr>
        <w:t>Dobrowolski H  ·  Front Public Health  ·  14.09.2026  ·  PMID 42807325</w:t>
      </w:r>
    </w:p>
    <w:p>
      <w:r>
        <w:t>Evaluation von drei kommerziellen LLMs (ChatGPT, Gemini, Copilot) zur Generierung von 35-Tages-Speiseplänen auf drei Energieniveaus (2.000, 2.500, 3.000 kcal) gegen polnische Ernährungsempfehlungen.</w:t>
      </w:r>
    </w:p>
    <w:p>
      <w:r>
        <w:rPr>
          <w:b/>
        </w:rPr>
        <w:t xml:space="preserve">Ergebnis: </w:t>
      </w:r>
      <w:r>
        <w:t>Copilot höchste Konformität (Median 7/9 Richtlinien/Tag), signifikant besser als ChatGPT (6/9; p=0,002) und Gemini (5/9; p&lt;0,001). Alle Modelle begrenzen Fleisch-/Wurstkonsum und erfüllen meist Obst-, Gemüse-, Süßigkeits- und Milchziele; Vollkornprodukte konsistent unterrepräsentiert. Keine vollständige Konformität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(EU-Vergleichssystem), Risiken von LLM-Fehlern in Patientenedukation evident.</w:t>
      </w:r>
    </w:p>
    <w:p>
      <w:r>
        <w:rPr>
          <w:color w:val="5A7D3A"/>
          <w:sz w:val="18"/>
        </w:rPr>
        <w:t>https://pubmed.ncbi.nlm.nih.gov/42807325/</w:t>
      </w:r>
    </w:p>
    <w:p>
      <w:pPr>
        <w:pStyle w:val="Heading2"/>
      </w:pPr>
      <w:r>
        <w:t>Diversity-Merkmale in Mental-Health-Datenplattform: Verfügbarkeit vs. Berichterstattung</w:t>
      </w:r>
    </w:p>
    <w:p>
      <w:r>
        <w:rPr>
          <w:i/>
          <w:color w:val="666666"/>
          <w:sz w:val="18"/>
        </w:rPr>
        <w:t>Broadbent A et al.  ·  BMJ Open  ·  28.09.2026  ·  PMID 42805638</w:t>
      </w:r>
    </w:p>
    <w:p>
      <w:r>
        <w:t>Querschnittsanalyse von 362 CRIS-Publikationen (South London and Maudsley NHS) zu Verfügbarkeit und Berichterstattung von Diversity-Charakteristiken; Vergleich zwischen vorhandenen Daten und tatsächlicher Nutzung.</w:t>
      </w:r>
    </w:p>
    <w:p>
      <w:r>
        <w:rPr>
          <w:b/>
        </w:rPr>
        <w:t xml:space="preserve">Ergebnis: </w:t>
      </w:r>
      <w:r>
        <w:t>Durchschnittlich 4,0 Merkmale pro Publikation berichtet. Alter (89,3%), Geschlecht (87,3%), Ethnizität (80,4%) häufig; Socioeconomic-Status (42,5%), Partnerschaft (35,0%), Behinderung (27,0%) selten. Geografischer Ort und Obdachlosigkeit zu 97,5% verfügbar, aber nur zu 6,6% bzw. 5,8% genutzt—Berichtslücke.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NHS, europäisch übertragbar; zeigt Repräsentanzdefizit in EHR-gestützter Forschung.</w:t>
      </w:r>
    </w:p>
    <w:p>
      <w:r>
        <w:rPr>
          <w:color w:val="5A7D3A"/>
          <w:sz w:val="18"/>
        </w:rPr>
        <w:t>https://pubmed.ncbi.nlm.nih.gov/42805638/</w:t>
      </w:r>
    </w:p>
    <w:p>
      <w:pPr>
        <w:pStyle w:val="Heading2"/>
      </w:pPr>
      <w:r>
        <w:t>Machine Learning prognostiziert Mortalität bei hochfrequenter Polypharmzie in Herzinsuffizienz</w:t>
      </w:r>
    </w:p>
    <w:p>
      <w:r>
        <w:rPr>
          <w:i/>
          <w:color w:val="666666"/>
          <w:sz w:val="18"/>
        </w:rPr>
        <w:t>Hooshanginezhad Z et al.  ·  BMC Cardiovasc Disord  ·  24.07.2026  ·  PMID 42800872</w:t>
      </w:r>
    </w:p>
    <w:p>
      <w:r>
        <w:t>Sekundäranalyse von 1.375 Patienten mit ambulanter Herzinsuffizienz (Spanien 2006–2016); Random-Forest-Cox-Regression zur Prognose von Überlebensdauer; Stratifizierung nach Polypharmzie-Schwellenwert (≥5 kardiovaskuläre Medikamente).</w:t>
      </w:r>
    </w:p>
    <w:p>
      <w:r>
        <w:rPr>
          <w:b/>
        </w:rPr>
        <w:t xml:space="preserve">Ergebnis: </w:t>
      </w:r>
      <w:r>
        <w:t>Signifikanter Überlebensnachteil bei hoher Polypharmzie (log-rank p=0,017, multivariat p&lt;0,001). C-Index 0,804. Top-Prädiktoren: Alter, NT-proBNP, NYHA-Klasse, Krankheitsdauer, Sacubitril-Valsartan, β-Blocker, ACE-Hemmer/ARB. Befund unterstützt personalisierte Verschreibungsstrategien.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Spanisch-europäisches Versicherungssystem, deutsche Versorgungsrealität strukturell vergleichbar.</w:t>
      </w:r>
    </w:p>
    <w:p>
      <w:r>
        <w:rPr>
          <w:color w:val="5A7D3A"/>
          <w:sz w:val="18"/>
        </w:rPr>
        <w:t>https://pubmed.ncbi.nlm.nih.gov/42800872/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