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Digitalisierung, KI und Gesundheit von Monitor Versorgungsforschung. Täglich automatisiert KI-kuratiert aus PubMed und auf Deutsch übersetzt.</w:t>
      </w:r>
    </w:p>
    <w:p>
      <w:pPr>
        <w:pStyle w:val="Title"/>
      </w:pPr>
      <w:r>
        <w:t>Neueste Studien zu Digitalisierung, KI und Gesundheit</w:t>
      </w:r>
    </w:p>
    <w:p>
      <w:r>
        <w:rPr>
          <w:i/>
          <w:color w:val="666666"/>
          <w:sz w:val="18"/>
        </w:rPr>
        <w:t>Stand: 17.08.2026  |  9 Studien  |  ki.m-vf.de</w:t>
      </w:r>
    </w:p>
    <w:p>
      <w:pPr>
        <w:pStyle w:val="Heading1"/>
      </w:pPr>
      <w:r>
        <w:t>Aufgenommen am 17.08.2026</w:t>
      </w:r>
    </w:p>
    <w:p>
      <w:pPr>
        <w:pStyle w:val="Heading2"/>
      </w:pPr>
      <w:r>
        <w:t>Föderiertes Lernen über fünf Intensivdatenbanken: Vorhersage der erfolgreichen Beatmungsentwöhnung</w:t>
      </w:r>
    </w:p>
    <w:p>
      <w:r>
        <w:rPr>
          <w:i/>
          <w:color w:val="666666"/>
          <w:sz w:val="18"/>
        </w:rPr>
        <w:t>Sheikhalishahi S et al.  ·  JMIR Med Inform  ·  14.08.2026  ·  PMID 42600153</w:t>
      </w:r>
    </w:p>
    <w:p>
      <w:r>
        <w:t>Retrospektiver Vergleich dreier Lernverfahren an 24.521 Intensivpatienten aus fünf Datenbanken (darunter das Universitätsklinikum Augsburg), überführt in das OMOP-Datenmodell.</w:t>
      </w:r>
    </w:p>
    <w:p>
      <w:r>
        <w:rPr>
          <w:b/>
        </w:rPr>
        <w:t xml:space="preserve">Ergebnis: </w:t>
      </w:r>
      <w:r>
        <w:t>Zentrales Training auf zusammengelegten Daten erreichte AUROC 0,81, föderiertes Lernen ohne Weitergabe von Patientendaten 0,74, rein lokales Training je nach Haus 0,68 bis 0,84. Der Preis des Datenschutzes ist damit beziffert: rund sieben AUROC-Punkte gegenüber der Poollösung — und lokal starke Häuser verlieren durch Föderation sogar.</w:t>
      </w:r>
    </w:p>
    <w:p>
      <w:r>
        <w:rPr>
          <w:b/>
          <w:sz w:val="19"/>
        </w:rPr>
        <w:t xml:space="preserve">Übertragbarkeit: </w:t>
      </w:r>
      <w:r>
        <w:rPr>
          <w:sz w:val="19"/>
        </w:rPr>
        <w:t>Deutsche Klinikdaten im OMOP-Modell, direkt auf MII-Strukturen übertragbar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Digitalisierung, KI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