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25.08.2026  |  3 Studien  |  ki.m-vf.de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Digital- und AI-basierte Immunzellquantifikation in HER2-positivem Brustkrebs: prognostische Wertigkeit und Therapieertrag-Vorhersage</w:t>
      </w:r>
    </w:p>
    <w:p>
      <w:r>
        <w:rPr>
          <w:i/>
          <w:color w:val="666666"/>
          <w:sz w:val="18"/>
        </w:rPr>
        <w:t>Lara González LE et al.  ·  Lancet Oncol  ·  Sept. 2026  ·  PMID 42636838</w:t>
      </w:r>
    </w:p>
    <w:p>
      <w:r>
        <w:t>Sekundäranalyse der Phase-3-Studie APHINITY (4.262 Patientinnen) mit Vergleich manueller, digitaler und AI-basierter Stromalentzündungsmessung sowie AI-abgeleiteter Raummerkmale für Prognostik und Therapie-Nutzen-Schichtung unter Pertuzumab.</w:t>
      </w:r>
    </w:p>
    <w:p>
      <w:r>
        <w:rPr>
          <w:b/>
        </w:rPr>
        <w:t xml:space="preserve">Ergebnis: </w:t>
      </w:r>
      <w:r>
        <w:t>Manuelle Scoring-Reproduzierbarkeit (ICC 0,84); AI-Methode reklassifizierte 11,6% node-positiver Fälle von immun-niedrig zu immun-hoch, mit verbesserter Behandlungsvorhersage; HRs für invasive krankheitsfreie Überlebenszeit 0,36–0,48 unter Pertuzumab bei hohen TIL-Werten; AI-Hotspot-Scores lieferten zusätzliche Information (alle p&lt;0,010).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Mehrzentrale europäische Studie (Deutschland, Schweiz, Niederlande, Belgien), vergleichbarer Versorgungskontext</w:t>
      </w:r>
    </w:p>
    <w:p>
      <w:r>
        <w:rPr>
          <w:color w:val="5A7D3A"/>
          <w:sz w:val="18"/>
        </w:rPr>
        <w:t>https://pubmed.ncbi.nlm.nih.gov/42636838/</w:t>
      </w:r>
    </w:p>
    <w:p>
      <w:pPr>
        <w:pStyle w:val="Heading2"/>
      </w:pPr>
      <w:r>
        <w:t>Digitale Adipositas-Intervention: 3.511 € Kosteneinsparung und 0,07 QALY-Gewinn pro Patient in zehn Jahren</w:t>
      </w:r>
    </w:p>
    <w:p>
      <w:r>
        <w:rPr>
          <w:i/>
          <w:color w:val="666666"/>
          <w:sz w:val="18"/>
        </w:rPr>
        <w:t>Walter E et al.  ·  JMIR Form Res  ·  24.08.2026  ·  PMID 42636435</w:t>
      </w:r>
    </w:p>
    <w:p>
      <w:r>
        <w:t>Gesundheitsökonomische Modellierung für Deutschland einer mobilen App zur Gewichtsmanagement über zehn Jahre im Vergleich zu üblicher Versorgung.</w:t>
      </w:r>
    </w:p>
    <w:p>
      <w:r>
        <w:rPr>
          <w:b/>
        </w:rPr>
        <w:t xml:space="preserve">Ergebnis: </w:t>
      </w:r>
      <w:r>
        <w:t>Die App generierte Kosteneinsparungen von 3.511,85 € pro Patient, mit Gewinn von 0,0683 QALYs (≈ 3,6 Wochen in perfekter Gesundheit); Prävalenz Typ-2-Diabetes sank um 1,6 Prozentpunkte, reduzierte Diabetesdauer um acht Monate.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Gesundheitssystem, Parametrisierung für lokale Versorgungsrealität verfügbar</w:t>
      </w:r>
    </w:p>
    <w:p>
      <w:r>
        <w:rPr>
          <w:color w:val="5A7D3A"/>
          <w:sz w:val="18"/>
        </w:rPr>
        <w:t>https://pubmed.ncbi.nlm.nih.gov/42636435/</w:t>
      </w:r>
    </w:p>
    <w:p>
      <w:pPr>
        <w:pStyle w:val="Heading2"/>
      </w:pPr>
      <w:r>
        <w:t>Klinische Wirkung von AI-gestützter Frakturdiagnostik in britischen Notaufnahmen und Verletzungsambulanzen</w:t>
      </w:r>
    </w:p>
    <w:p>
      <w:r>
        <w:rPr>
          <w:i/>
          <w:color w:val="666666"/>
          <w:sz w:val="18"/>
        </w:rPr>
        <w:t>Novak A et al.  ·  BMJ Open  ·  21.08.2026  ·  PMID 42629153</w:t>
      </w:r>
    </w:p>
    <w:p>
      <w:r>
        <w:t>Laufende Cluster-randomisierte Cross-over-Studie über sechs Monate in vier UK-Trusts zur Messung der Auswirkung eines CE-geprüften AI-Tools auf ungeeignete Arztkontakte, Versorgungsergebnisse und Kosteneffektivität bei Verdacht auf Knochenverletzungen.</w:t>
      </w:r>
    </w:p>
    <w:p>
      <w:r>
        <w:rPr>
          <w:b/>
        </w:rPr>
        <w:t xml:space="preserve">Ergebnis: </w:t>
      </w:r>
      <w:r>
        <w:t>Studienprotokoll beschreiben; primärer Outcome ist Inzidenz unangemessener Arzt-Patienten-Kontakte (wiederholte Krankenhausbesuche, Überweisungen, Nachverfolgung wegen übersehener Frakturen) in Phase 'AI an' vs. 'AI aus'; sekundäre Outcomes umfassen Lebensqualität, klinisches Urteil,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aber strukturelle Nähe zu deutschem System und zu europäischen Regulierungsrahmen</w:t>
      </w:r>
    </w:p>
    <w:p>
      <w:r>
        <w:rPr>
          <w:color w:val="5A7D3A"/>
          <w:sz w:val="18"/>
        </w:rPr>
        <w:t>https://pubmed.ncbi.nlm.nih.gov/42629153/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