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Digitalisierung, KI und Gesundheit</w:t>
      </w:r>
    </w:p>
    <w:p>
      <w:r>
        <w:rPr>
          <w:i/>
          <w:color w:val="666666"/>
          <w:sz w:val="18"/>
        </w:rPr>
        <w:t>Stand: 25.08.2026  |  31 Studien  |  ki.m-vf.de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Digital- und AI-basierte Immunzellquantifikation in HER2-positivem Brustkrebs: prognostische Wertigkeit und Therapieertrag-Vorhersage</w:t>
      </w:r>
    </w:p>
    <w:p>
      <w:r>
        <w:rPr>
          <w:i/>
          <w:color w:val="666666"/>
          <w:sz w:val="18"/>
        </w:rPr>
        <w:t>Lara González LE et al.  ·  Lancet Oncol  ·  Sept. 2026  ·  PMID 42636838</w:t>
      </w:r>
    </w:p>
    <w:p>
      <w:r>
        <w:t>Sekundäranalyse der Phase-3-Studie APHINITY (4.262 Patientinnen) mit Vergleich manueller, digitaler und AI-basierter Stromalentzündungsmessung sowie AI-abgeleiteter Raummerkmale für Prognostik und Therapie-Nutzen-Schichtung unter Pertuzumab.</w:t>
      </w:r>
    </w:p>
    <w:p>
      <w:r>
        <w:rPr>
          <w:b/>
        </w:rPr>
        <w:t xml:space="preserve">Ergebnis: </w:t>
      </w:r>
      <w:r>
        <w:t>Manuelle Scoring-Reproduzierbarkeit (ICC 0,84); AI-Methode reklassifizierte 11,6% node-positiver Fälle von immun-niedrig zu immun-hoch, mit verbesserter Behandlungsvorhersage; HRs für invasive krankheitsfreie Überlebenszeit 0,36–0,48 unter Pertuzumab bei hohen TIL-Werten; AI-Hotspot-Scores lieferten zusätzliche Information (alle p&lt;0,010).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Mehrzentrale europäische Studie (Deutschland, Schweiz, Niederlande, Belgien), vergleichbarer Versorgungskontext</w:t>
      </w:r>
    </w:p>
    <w:p>
      <w:r>
        <w:rPr>
          <w:color w:val="5A7D3A"/>
          <w:sz w:val="18"/>
        </w:rPr>
        <w:t>https://pubmed.ncbi.nlm.nih.gov/42636838/</w:t>
      </w:r>
    </w:p>
    <w:p>
      <w:pPr>
        <w:pStyle w:val="Heading2"/>
      </w:pPr>
      <w:r>
        <w:t>Digitale Adipositas-Intervention: 3.511 € Kosteneinsparung und 0,07 QALY-Gewinn pro Patient in zehn Jahren</w:t>
      </w:r>
    </w:p>
    <w:p>
      <w:r>
        <w:rPr>
          <w:i/>
          <w:color w:val="666666"/>
          <w:sz w:val="18"/>
        </w:rPr>
        <w:t>Walter E et al.  ·  JMIR Form Res  ·  24.08.2026  ·  PMID 42636435</w:t>
      </w:r>
    </w:p>
    <w:p>
      <w:r>
        <w:t>Gesundheitsökonomische Modellierung für Deutschland einer mobilen App zur Gewichtsmanagement über zehn Jahre im Vergleich zu üblicher Versorgung.</w:t>
      </w:r>
    </w:p>
    <w:p>
      <w:r>
        <w:rPr>
          <w:b/>
        </w:rPr>
        <w:t xml:space="preserve">Ergebnis: </w:t>
      </w:r>
      <w:r>
        <w:t>Die App generierte Kosteneinsparungen von 3.511,85 € pro Patient, mit Gewinn von 0,0683 QALYs (≈ 3,6 Wochen in perfekter Gesundheit); Prävalenz Typ-2-Diabetes sank um 1,6 Prozentpunkte, reduzierte Diabetesdauer um acht Monate.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Gesundheitssystem, Parametrisierung für lokale Versorgungsrealität verfügbar</w:t>
      </w:r>
    </w:p>
    <w:p>
      <w:r>
        <w:rPr>
          <w:color w:val="5A7D3A"/>
          <w:sz w:val="18"/>
        </w:rPr>
        <w:t>https://pubmed.ncbi.nlm.nih.gov/42636435/</w:t>
      </w:r>
    </w:p>
    <w:p>
      <w:pPr>
        <w:pStyle w:val="Heading2"/>
      </w:pPr>
      <w:r>
        <w:t>Klinische Wirkung von AI-gestützter Frakturdiagnostik in britischen Notaufnahmen und Verletzungsambulanzen</w:t>
      </w:r>
    </w:p>
    <w:p>
      <w:r>
        <w:rPr>
          <w:i/>
          <w:color w:val="666666"/>
          <w:sz w:val="18"/>
        </w:rPr>
        <w:t>Novak A et al.  ·  BMJ Open  ·  21.08.2026  ·  PMID 42629153</w:t>
      </w:r>
    </w:p>
    <w:p>
      <w:r>
        <w:t>Laufende Cluster-randomisierte Cross-over-Studie über sechs Monate in vier UK-Trusts zur Messung der Auswirkung eines CE-geprüften AI-Tools auf ungeeignete Arztkontakte, Versorgungsergebnisse und Kosteneffektivität bei Verdacht auf Knochenverletzungen.</w:t>
      </w:r>
    </w:p>
    <w:p>
      <w:r>
        <w:rPr>
          <w:b/>
        </w:rPr>
        <w:t xml:space="preserve">Ergebnis: </w:t>
      </w:r>
      <w:r>
        <w:t>Studienprotokoll beschreiben; primärer Outcome ist Inzidenz unangemessener Arzt-Patienten-Kontakte (wiederholte Krankenhausbesuche, Überweisungen, Nachverfolgung wegen übersehener Frakturen) in Phase 'AI an' vs. 'AI aus'; sekundäre Outcomes umfassen Lebensqualität, klinisches Urteil,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aber strukturelle Nähe zu deutschem System und zu europäischen Regulierungsrahmen</w:t>
      </w:r>
    </w:p>
    <w:p>
      <w:r>
        <w:rPr>
          <w:color w:val="5A7D3A"/>
          <w:sz w:val="18"/>
        </w:rPr>
        <w:t>https://pubmed.ncbi.nlm.nih.gov/42629153/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KI-Unterstützung bei Frakturdiagnose in Radiographien: Multinationaler Validierungstest an drei europäischen Zentren mit Kliniker-Performance</w:t>
      </w:r>
    </w:p>
    <w:p>
      <w:r>
        <w:rPr>
          <w:i/>
          <w:color w:val="666666"/>
          <w:sz w:val="18"/>
        </w:rPr>
        <w:t>Ruitenbeek HC et al.  ·  Radiology  ·  Aug. 2026  ·  PMID 42610815</w:t>
      </w:r>
    </w:p>
    <w:p>
      <w:r>
        <w:t>Retrospektive multizentrische Validierungsstudie eines vorkonfigurierten Fraktur-KI-Tools an 1500 Röntgenbildern aus Niederlanden, Dänemark und Deutschland; Effekt auf Kliniker-Sensitivität und Spezifität untersucht.</w:t>
      </w:r>
    </w:p>
    <w:p>
      <w:r>
        <w:rPr>
          <w:b/>
        </w:rPr>
        <w:t xml:space="preserve">Ergebnis: </w:t>
      </w:r>
      <w:r>
        <w:t>KI-Sensitivität über Zentren: 80–86%, Spezifität 93–96%; keine signifikanten Unterschiede zwischen Zentren (p=0,23). Mit KI-Hilfe verbesserte sich die Kliniker-Sensitivität um 11 Prozentpunkte (95% CI: 6,8–14,4; p&lt;0,001), während Spezifität stabil blieb (Δ=0,6 Pp, p=0,34). Tool-Performance zeigte sich konsistent über Länder und Bildprotokolle.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Drei europäische Länder mit vergleichbaren Versorgungssystemen und Bildstandards.</w:t>
      </w:r>
    </w:p>
    <w:p>
      <w:r>
        <w:rPr>
          <w:color w:val="5A7D3A"/>
          <w:sz w:val="18"/>
        </w:rPr>
        <w:t>https://pubmed.ncbi.nlm.nih.gov/42610815/</w:t>
      </w:r>
    </w:p>
    <w:p>
      <w:pPr>
        <w:pStyle w:val="Heading2"/>
      </w:pPr>
      <w:r>
        <w:t>Digitale Gesundheitsanwendung zur Unterstützung regelmäßiger Bewegung nach kardialer Rehabilitation: Feasibility-Pilotstudie in Österreich</w:t>
      </w:r>
    </w:p>
    <w:p>
      <w:r>
        <w:rPr>
          <w:i/>
          <w:color w:val="666666"/>
          <w:sz w:val="18"/>
        </w:rPr>
        <w:t>Leysen D et al.  ·  JMIR Form Res  ·  11.08.2026  ·  PMID 42610731</w:t>
      </w:r>
    </w:p>
    <w:p>
      <w:r>
        <w:t>Randomisierte kontrollierte Pilotstudie (n=34, davon 16 Intervention) der aktivplan-App als digitale Unterstützung für Bewegungsverhalten nach kardialer Phase-II-Rehabilitation in Österreich über 10 Wochen.</w:t>
      </w:r>
    </w:p>
    <w:p>
      <w:r>
        <w:rPr>
          <w:b/>
        </w:rPr>
        <w:t xml:space="preserve">Ergebnis: </w:t>
      </w:r>
      <w:r>
        <w:t>Rekrutierungsrate 0,6–1,0 Patienten/Woche, Dropout 18%, Datenvollständigkeit 97,4%. Patientenadhärenz hoch: 71% geplante Aktivitäten abgeschlossen, durchschnittlich 39 zusätzliche Aktivitäten pro Teilnehmer. Keine Nebenwirkungen. HCPs berichteten hohe Implementierungstreue (Normalization Measure Development: 3,75/5), Patienten und Personal positiv zur Machbarkeit und 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deutsches Gesundheitssystem und Rehastandardisierung.</w:t>
      </w:r>
    </w:p>
    <w:p>
      <w:r>
        <w:rPr>
          <w:color w:val="5A7D3A"/>
          <w:sz w:val="18"/>
        </w:rPr>
        <w:t>https://pubmed.ncbi.nlm.nih.gov/42610731/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Menschlich regulierte KI-Informationstechnologie für sichere psychische Teleberatung: Governance-Framework und Risikokontroll-Layers</w:t>
      </w:r>
    </w:p>
    <w:p>
      <w:r>
        <w:rPr>
          <w:i/>
          <w:color w:val="666666"/>
          <w:sz w:val="18"/>
        </w:rPr>
        <w:t>Yang MA et al.  ·  JMIR Form Res  ·  21.08.2026  ·  PMID 42628031</w:t>
      </w:r>
    </w:p>
    <w:p>
      <w:r>
        <w:t>Sekundäre Rahmenentwicklung mit Anforderungs-Mapping für sichere KI-gestützte psychische Beratung, basierend auf Korean AI Hub Beratungs-Datensätzen und Analyse von Fehler-Modi von Zusammenfassungs- und Screening-Modellen.</w:t>
      </w:r>
    </w:p>
    <w:p>
      <w:r>
        <w:rPr>
          <w:b/>
        </w:rPr>
        <w:t xml:space="preserve">Ergebnis: </w:t>
      </w:r>
      <w:r>
        <w:t>Dokumentiert Fehlermuster in LLM-generierten Zusammenfassungen: 55,4% enthielten unbegründete Inhalte, 31,7% über-diagnostische Formulierungen, 54,7% medikalisierte Ausdrücke; insgesamt 91,4% der Test-Fälle triggerten mindestens eine regelbasierte Sicherheits-Flag. Entwickelt 7-stufigen Workflow, 6 Kontroll-Layers, operatives Sicherheits-Gate und Crosswalk zwischen Workflow und Kontrolle. Keine Deployment ohne menschliche Validierung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NLP und Datenschutz-Aspekte aber auf deutsche Teleberatungsszenarien übertragbar; zeigt Notwendigkeit von Governance vor Einsatz</w:t>
      </w:r>
    </w:p>
    <w:p>
      <w:r>
        <w:rPr>
          <w:color w:val="5A7D3A"/>
          <w:sz w:val="18"/>
        </w:rPr>
        <w:t>https://pubmed.ncbi.nlm.nih.gov/42628031/</w:t>
      </w:r>
    </w:p>
    <w:p>
      <w:pPr>
        <w:pStyle w:val="Heading2"/>
      </w:pPr>
      <w:r>
        <w:t>KI-gestützte klinische Entscheidungsunterstützung in der Medizin: Patient:innenvertrauen hängt von der Modus und Timing des AI-Einsatzes ab</w:t>
      </w:r>
    </w:p>
    <w:p>
      <w:r>
        <w:rPr>
          <w:i/>
          <w:color w:val="666666"/>
          <w:sz w:val="18"/>
        </w:rPr>
        <w:t>Schaffernak I et al.  ·  J Med Internet Res  ·  21.08.2026  ·  PMID 42627987</w:t>
      </w:r>
    </w:p>
    <w:p>
      <w:r>
        <w:t>Zwei experimentelle Studien testeten, wie Typ und Timing von KI-Unterstützung für Ärzte das Vertrauen von Patient:innen in medizinische Entscheidungen beeinflussen.</w:t>
      </w:r>
    </w:p>
    <w:p>
      <w:r>
        <w:rPr>
          <w:b/>
        </w:rPr>
        <w:t xml:space="preserve">Ergebnis: </w:t>
      </w:r>
      <w:r>
        <w:t>Diagnose-KI (im Vergleich zu beschreibender KI) reduzierte das Vertrauen in medizinische Entscheidungen signifikant (5,00 vs. 5,37 auf 7er-Skala; p=0,002) und die wahrgenommene Glaubwürdigkeit des Arztes (4,93 vs. 5,40; p&lt;0,001). Wenn Ärzte KI-Ergebnisse unabhängig von ihrer eigenen Einschätzung prüften (sequenzielle Entscheidungsfindung), verschärfte sich dieser Effekt nicht – das Vertrauen blieb höher als bei gleichzeitiger KI- und Informationsprüfung. Das Vertrauen in Ärztliche Unabhängigkeit spielte eine zentrale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Studienteilnehmer:innen, Messaging für KI-Implementierung auf lokale Kontexte übertragbar</w:t>
      </w:r>
    </w:p>
    <w:p>
      <w:r>
        <w:rPr>
          <w:color w:val="5A7D3A"/>
          <w:sz w:val="18"/>
        </w:rPr>
        <w:t>https://pubmed.ncbi.nlm.nih.gov/42627987/</w:t>
      </w:r>
    </w:p>
    <w:p>
      <w:pPr>
        <w:pStyle w:val="Heading2"/>
      </w:pPr>
      <w:r>
        <w:t>Large Language Models zur automatisierten Klassifizierung postoperativer Komplikationen aus Kliniktexten: Zero-Shot-Ansatz im Krankenhaus</w:t>
      </w:r>
    </w:p>
    <w:p>
      <w:r>
        <w:rPr>
          <w:i/>
          <w:color w:val="666666"/>
          <w:sz w:val="18"/>
        </w:rPr>
        <w:t>Warmer S et al.  ·  J Med Internet Res  ·  21.08.2026  ·  PMID 42627683</w:t>
      </w:r>
    </w:p>
    <w:p>
      <w:r>
        <w:t>Sechs LLMs wurden getestet, um postoperative Komplikationen nach der Clavien-Dindo-Klassifikation direkt aus Entlassungsbriefen von Leberchirurgie-Patienten zu erfassen, ohne spezielles Training auf diese Daten.</w:t>
      </w:r>
    </w:p>
    <w:p>
      <w:r>
        <w:rPr>
          <w:b/>
        </w:rPr>
        <w:t xml:space="preserve">Ergebnis: </w:t>
      </w:r>
      <w:r>
        <w:t>Open-Weight-Modelle erreichten Genauigkeiten von 0,75–0,78 für die 5-stufige Klassifikation (F1-Score 0,76–0,78), für binäre Klassifikation (kritisch vs. unkritisch) 0,93–0,94 (F1 0,93–0,95, Cohen κ 0,76–0,79). Performance näherte sich dem Benchmark zwischen zwei Fachleuten (κ=0,75). Proprietary Modelle erreichten 0,78 bzw. 0,94–0,98. Ein Ensemble-Ansatz verbesserte die Robustheit.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Universitätskliniken, ähnliche Dokumentationspflichten und unstrukturierte Klinikabrechnungstexte</w:t>
      </w:r>
    </w:p>
    <w:p>
      <w:r>
        <w:rPr>
          <w:color w:val="5A7D3A"/>
          <w:sz w:val="18"/>
        </w:rPr>
        <w:t>https://pubmed.ncbi.nlm.nih.gov/42627683/</w:t>
      </w:r>
    </w:p>
    <w:p>
      <w:pPr>
        <w:pStyle w:val="Heading2"/>
      </w:pPr>
      <w:r>
        <w:t>Sicherheit und Sicherheitsrisiken großer Sprachmodelle im Klinikalltag: Systematische Übersicht über Hazards, Mitigationen und Stakeholder-Verantwortung</w:t>
      </w:r>
    </w:p>
    <w:p>
      <w:r>
        <w:rPr>
          <w:i/>
          <w:color w:val="666666"/>
          <w:sz w:val="18"/>
        </w:rPr>
        <w:t>Clusmann J et al.  ·  Nature  ·  19.08.2026  ·  PMID 42618758</w:t>
      </w:r>
    </w:p>
    <w:p>
      <w:r>
        <w:t>Systematische Bewertung der aktuellen Literatur zu Sicherheit und Datensicherheit von LLMs in klinischen Settings, mit Kartierung von Hazards auf Entwicklungsphasen (Design, Daten, Modell, Inferenz, Umgebung) und Identifikation von Mitigationsmechanismen.</w:t>
      </w:r>
    </w:p>
    <w:p>
      <w:r>
        <w:rPr>
          <w:b/>
        </w:rPr>
        <w:t xml:space="preserve">Ergebnis: </w:t>
      </w:r>
      <w:r>
        <w:t>Review dokumentiert kritische Sicherheitslücken: Halluzinationen und Verzerrungen, Datenschutz-Verletzungen beim Training, Anfälligkeit für Prompt-Injections und Jailbreaks, fehlende Nachverfolgbarkeit, unzureichende Mensch-Maschine-Interaktion. Mitigationsebenen reichen von Optimierungsbeschränkungen über Knowledge-Integrity bis zur klinischen Überwachung. Nennt neun Stakeholder-Gruppen und deren Verantwortungen – kein einzelner Wert, aber klares Framework.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EU, EU-Regulierung (KI-Verordnung, MDR) direkt relevant; Sicherheits-Befunde modell- und systemunabhängig</w:t>
      </w:r>
    </w:p>
    <w:p>
      <w:r>
        <w:rPr>
          <w:color w:val="5A7D3A"/>
          <w:sz w:val="18"/>
        </w:rPr>
        <w:t>https://pubmed.ncbi.nlm.nih.gov/42618758/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Natural Language Processing zur Identifikation von Beckeninfektionen aus Krankenhaus-Dokumentationen</w:t>
      </w:r>
    </w:p>
    <w:p>
      <w:r>
        <w:rPr>
          <w:i/>
          <w:color w:val="666666"/>
          <w:sz w:val="18"/>
        </w:rPr>
        <w:t>Quentin E et al.  ·  BMJ Open  ·  20.08.2026  ·  PMID 42624602</w:t>
      </w:r>
    </w:p>
    <w:p>
      <w:r>
        <w:t>Entwicklung eines Algorithmus zur automatischen Erkennung von Beckeninfekationen (PID) aus diagnostischen Codes und Freitextberichten in einer großen französischen Klinik-Datenbank.</w:t>
      </w:r>
    </w:p>
    <w:p>
      <w:r>
        <w:rPr>
          <w:b/>
        </w:rPr>
        <w:t xml:space="preserve">Ergebnis: </w:t>
      </w:r>
      <w:r>
        <w:t>Der Algorithmus erreichte bei 1732 NLP-klassifizierten Fällen eine Sensitivität von 0,80, Präzision von 0,74 und F1-Score von 0,77. Bei 93 von Experten klassifizierten Fällen: Sensitivität 0,76, Präzision 0,82, F1-Score 0,79. Insgesamt wurden 901 PID-Episoden in 880 Patienten identifiziert, Chlamydia-Infektionen in 9,9 %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Klinikdaten mit vergleichbaren EHR-Strukturen und Dokumentationspflichten.</w:t>
      </w:r>
    </w:p>
    <w:p>
      <w:r>
        <w:rPr>
          <w:color w:val="5A7D3A"/>
          <w:sz w:val="18"/>
        </w:rPr>
        <w:t>https://pubmed.ncbi.nlm.nih.gov/42624602/</w:t>
      </w:r>
    </w:p>
    <w:p>
      <w:pPr>
        <w:pStyle w:val="Heading2"/>
      </w:pPr>
      <w:r>
        <w:t>Implementation eines KI-gestützten Stroke-Entscheidungstools in klinischem Workflow mit Routine-Perfusions-Bildgebung</w:t>
      </w:r>
    </w:p>
    <w:p>
      <w:r>
        <w:rPr>
          <w:i/>
          <w:color w:val="666666"/>
          <w:sz w:val="18"/>
        </w:rPr>
        <w:t>Karlsson A et al.  ·  Eur Stroke J  ·  05.08.2026  ·  PMID 42623551</w:t>
      </w:r>
    </w:p>
    <w:p>
      <w:r>
        <w:t>Retroaktive Untersuchung der Implementierung einer KI-Software (Brainomix 360 Stroke) zur Beschleunigung von Schlaganfall-Bildauswertung in einem schwedischen Hochvolumen-Zentrum mit EVT-Versorgung.</w:t>
      </w:r>
    </w:p>
    <w:p>
      <w:r>
        <w:rPr>
          <w:b/>
        </w:rPr>
        <w:t xml:space="preserve">Ergebnis: </w:t>
      </w:r>
      <w:r>
        <w:t>Adjustierte Median-Zeit von NCCT zu Leistenpunktion sank signifikant von 47 min (vor Implementierung) auf 36 min (Lernphase) und 35 min (etablierte Phase). CT-zu-Perfusions-Verfügbarkeit: 7 min → 6 min. In primären Stroke-Centern ähnliche Ergebnisse; keine signifikanten Unterschiede in klinischen Outcomes (neurologische Besserung, funktionelle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Hochvolumen-Zentrum mit europäischem Workflow und standardisierter Bildgebung; Zeitgewinne übertragbar auf vergleichbare deutsche Zentren.</w:t>
      </w:r>
    </w:p>
    <w:p>
      <w:r>
        <w:rPr>
          <w:color w:val="5A7D3A"/>
          <w:sz w:val="18"/>
        </w:rPr>
        <w:t>https://pubmed.ncbi.nlm.nih.gov/42623551/</w:t>
      </w:r>
    </w:p>
    <w:p>
      <w:pPr>
        <w:pStyle w:val="Heading2"/>
      </w:pPr>
      <w:r>
        <w:t>Machine-Learning-Modelle zur Vorhersage von Akutem Nierenschaden und Post-AKI-Mortalität: Systematische Übersicht und Metaanalyse</w:t>
      </w:r>
    </w:p>
    <w:p>
      <w:r>
        <w:rPr>
          <w:i/>
          <w:color w:val="666666"/>
          <w:sz w:val="18"/>
        </w:rPr>
        <w:t>Xiao H et al.  ·  J Med Internet Res  ·  20.08.2026  ·  PMID 42623396</w:t>
      </w:r>
    </w:p>
    <w:p>
      <w:r>
        <w:t>Systematische Übersicht und Metaanalyse von 219 Studien mit 7,3 Millionen Teilnehmern zu Diskriminationsgüte von ML-Modellen für Vorhersage von akutem Nierenschaden und Post-AKI-Mortalität in realen klinischen Daten.</w:t>
      </w:r>
    </w:p>
    <w:p>
      <w:r>
        <w:rPr>
          <w:b/>
        </w:rPr>
        <w:t xml:space="preserve">Ergebnis: </w:t>
      </w:r>
      <w:r>
        <w:t>Gepooltes AUC für AKI-Auftreten: 0,834 (95%-KI 0,821–0,846); für Post-AKI-Mortalität: 0,830 (95%-KI 0,807–0,851). Externe Validierung selten (16,0 % für AKI-Auftreten, 29,0 % für Mortalität). Nichtlineare Modelle (Deep Learning, Ensemble-Methoden) zeigten höhere AUC-Punktschätzungen. PROBAST+AI-Bewertung: 58,9 % niedriges Risiko, 38,4 % hohes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 mit unterschiedlichen Datenquellen; methodische Erkenntnisse auf deutsche ICU-Populationen übertragbar, aber externe Validierung an deutschen Daten erforderlich.</w:t>
      </w:r>
    </w:p>
    <w:p>
      <w:r>
        <w:rPr>
          <w:color w:val="5A7D3A"/>
          <w:sz w:val="18"/>
        </w:rPr>
        <w:t>https://pubmed.ncbi.nlm.nih.gov/42623396/</w:t>
      </w:r>
    </w:p>
    <w:p>
      <w:pPr>
        <w:pStyle w:val="Heading2"/>
      </w:pPr>
      <w:r>
        <w:t>EHR-integriertes LLM-gestütztes Triage-Tool für chirurgische Patienten zur Identifikation von Comanagement-Kandidaten</w:t>
      </w:r>
    </w:p>
    <w:p>
      <w:r>
        <w:rPr>
          <w:i/>
          <w:color w:val="666666"/>
          <w:sz w:val="18"/>
        </w:rPr>
        <w:t>Wang J et al.  ·  JAMA Netw Open  ·  03.08.2026  ·  PMID 42623072</w:t>
      </w:r>
    </w:p>
    <w:p>
      <w:r>
        <w:t>Prospektive Qualitätsverbesserungsstudie eines LLM-basierten Entscheidungsunterstützungs-Tools in der EHR zur automatisierten Triage von Patienten für Hospitalist-Chirurg-Comanagement an der Stanford-Klinik.</w:t>
      </w:r>
    </w:p>
    <w:p>
      <w:r>
        <w:rPr>
          <w:b/>
        </w:rPr>
        <w:t xml:space="preserve">Ergebnis: </w:t>
      </w:r>
      <w:r>
        <w:t>Bei 6193 Patienten: Sensitivität 0,94 (95%-KI 0,91–0,96), Spezifität 0,74 (95%-KI 0,71–0,77). 25,5 % der Patienten als Comanagement-Kandidaten identifiziert. Nachträgliche Überprüfung zeigte, dass die meisten Diskrepanzen auf modifizierbare Lücken in klinischen Kriterien oder Workflow, nicht auf KI-Fehler (2 von 19 false-negatives) zurückgingen.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USA-Setting, aber Workflow und Entscheidungskriterien für Comanagement ähneln deutschen Modellen; EHR-Integration relevant für Versorgungsforschung hierzulande.</w:t>
      </w:r>
    </w:p>
    <w:p>
      <w:r>
        <w:rPr>
          <w:color w:val="5A7D3A"/>
          <w:sz w:val="18"/>
        </w:rPr>
        <w:t>https://pubmed.ncbi.nlm.nih.gov/42623072/</w:t>
      </w:r>
    </w:p>
    <w:p>
      <w:pPr>
        <w:pStyle w:val="Heading2"/>
      </w:pPr>
      <w:r>
        <w:t>Nutzerwahrnehmung von KI-generierten gegenüber humangenerierten Antworten in der digitalen Gesundheitskommunikation</w:t>
      </w:r>
    </w:p>
    <w:p>
      <w:r>
        <w:rPr>
          <w:i/>
          <w:color w:val="666666"/>
          <w:sz w:val="18"/>
        </w:rPr>
        <w:t>Schulz C et al.  ·  BMC Health Serv Res  ·  19.08.2026  ·  PMID 42618915</w:t>
      </w:r>
    </w:p>
    <w:p>
      <w:r>
        <w:t>Vergleich von ChatGPT-4-generierten versus von Physiotherapeuten verfassten Antworten auf Patientengesundheitsfragen in Deutschland anhand von Nutzerurteilen zu Verständlichkeit, Empathie und Diskriminierungsrisiko.</w:t>
      </w:r>
    </w:p>
    <w:p>
      <w:r>
        <w:rPr>
          <w:b/>
        </w:rPr>
        <w:t xml:space="preserve">Ergebnis: </w:t>
      </w:r>
      <w:r>
        <w:t>224 Teilnehmer bewerteten KI-Antworten signifikant höher bei Verständlichkeit und Empathie (beide p &lt; 0,001). KI-Antwort: bevorzugt bei Empathie und Klarheit; Expert:innen beurteilten KI-Antwort auch klinisch korrekter. Wahrnehmungen von Diskriminierungsinhalten waren selten und unterschieden sich nicht zwischen Antworten.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realen Gesundheitsfragen und Laiennutzern; direkt auf deutsches Publikum übertragbar.</w:t>
      </w:r>
    </w:p>
    <w:p>
      <w:r>
        <w:rPr>
          <w:color w:val="5A7D3A"/>
          <w:sz w:val="18"/>
        </w:rPr>
        <w:t>https://pubmed.ncbi.nlm.nih.gov/42618915/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Klinische Entscheidungsunterstützung für Brustmultidisziplinäre Team-Meetings: validierte KI reduziert Behandlungsvariabilität</w:t>
      </w:r>
    </w:p>
    <w:p>
      <w:r>
        <w:rPr>
          <w:i/>
          <w:color w:val="666666"/>
          <w:sz w:val="18"/>
        </w:rPr>
        <w:t>Jeffery H et al.  ·  BMJ Health Care Inform  ·  19.08.2026  ·  PMID 42618288</w:t>
      </w:r>
    </w:p>
    <w:p>
      <w:r>
        <w:t>Qualitätsverbesserungsprojekt zur Validierung einer KI-gestützten Entscheidungsunterstützung (Deontics CDS) für Brust-MDT-Meetings basierend auf internationale Leitlinien an Brust-Chirurgiezentrum (London).</w:t>
      </w:r>
    </w:p>
    <w:p>
      <w:r>
        <w:rPr>
          <w:b/>
        </w:rPr>
        <w:t xml:space="preserve">Ergebnis: </w:t>
      </w:r>
      <w:r>
        <w:t>250 Patientinnen (100 benigne, 150 maligne) schrittweise hinzugefügt. Konkordanz zwischen MDT-Entscheidung und Standard-of-Care-Empfehlung verbesserte sich von 82% auf 100% (benigne) und von 94% auf 100% (maligne). Abschließend 100% Konkordanz für beide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Universitätsklinikum, internationale Guidelines, Strukturtransfer auf Deutschland möglich</w:t>
      </w:r>
    </w:p>
    <w:p>
      <w:r>
        <w:rPr>
          <w:color w:val="5A7D3A"/>
          <w:sz w:val="18"/>
        </w:rPr>
        <w:t>https://pubmed.ncbi.nlm.nih.gov/42618288/</w:t>
      </w:r>
    </w:p>
    <w:p>
      <w:pPr>
        <w:pStyle w:val="Heading2"/>
      </w:pPr>
      <w:r>
        <w:t>Telemedizinische Intervention mit Frühwarnsystem in Pflegeheimen: Wirkung auf Hospitalisierungen</w:t>
      </w:r>
    </w:p>
    <w:p>
      <w:r>
        <w:rPr>
          <w:i/>
          <w:color w:val="666666"/>
          <w:sz w:val="18"/>
        </w:rPr>
        <w:t>Grosser J et al.  ·  JMIR Aging  ·  19.08.2026  ·  PMID 42616612</w:t>
      </w:r>
    </w:p>
    <w:p>
      <w:r>
        <w:t>Clusterzufallstudie in 24 Pflegeheimen (westliches Deutschland) zu einer intersektoral organisierten Telemedizin mit Frühwarnsystem und mobilen medizinischen Laien bei akuten Versorgungsfällen in der vollstationären Altenpflege.</w:t>
      </w:r>
    </w:p>
    <w:p>
      <w:r>
        <w:rPr>
          <w:b/>
        </w:rPr>
        <w:t xml:space="preserve">Ergebnis: </w:t>
      </w:r>
      <w:r>
        <w:t>2.394 Studienpersonen über 8 Perioden. Knapp zwei Drittel aller ausgetesteten Modellspezifikationen zeigten einen schützenden (negativen) Effekt auf Hospitalisierungen, aber kein Modell erreichte statistische Signifikanz (p&lt;0,05). Externe Faktoren (Flutkatastrophe, COVID-19) wurden als Einflussfaktoren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Sozialversicherungssystem, Implementierungskontext der Routine</w:t>
      </w:r>
    </w:p>
    <w:p>
      <w:r>
        <w:rPr>
          <w:color w:val="5A7D3A"/>
          <w:sz w:val="18"/>
        </w:rPr>
        <w:t>https://pubmed.ncbi.nlm.nih.gov/42616612/</w:t>
      </w:r>
    </w:p>
    <w:p>
      <w:pPr>
        <w:pStyle w:val="Heading2"/>
      </w:pPr>
      <w:r>
        <w:t>Datengestützte Entscheidungsunterstützung für chirurgische Rekonstruktion bei Mundhöhlenkrebs</w:t>
      </w:r>
    </w:p>
    <w:p>
      <w:r>
        <w:rPr>
          <w:i/>
          <w:color w:val="666666"/>
          <w:sz w:val="18"/>
        </w:rPr>
        <w:t>Kupka JR et al.  ·  Clin Oral Investig  ·  19.08.2026  ·  PMID 42616132</w:t>
      </w:r>
    </w:p>
    <w:p>
      <w:r>
        <w:t>Klassifikationsbaum-Analyse an 88 Patienten mit Plattenepithelkarzinom zur Identifikation von objektiven Schwellwerten zwischen lokaler/regionaler und mikrovaskulärer Rekonstruktion unter Berücksichtigung klinischer und ökonomischer Parameter.</w:t>
      </w:r>
    </w:p>
    <w:p>
      <w:r>
        <w:rPr>
          <w:b/>
        </w:rPr>
        <w:t xml:space="preserve">Ergebnis: </w:t>
      </w:r>
      <w:r>
        <w:t>Tumor-Lokalisation, Durchmesser und Resektionstyp als entscheidende Prädiktoren. Lokale Rekonstruktion zeigte signifikant niedrigere perioperative Morbidität (geringere Raten für Tracheotomie und PEG-Sonde, kürzere ICU/Krankenhausaufenthalte). Regional-Verfahren ökonomisch überlegen; mikrovaskuläre Eingriffe brauchten deutlich längere OP-Zeiten. Lappenüberlebensrate: 96,7%.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Struktur und DRG-Kodierung</w:t>
      </w:r>
    </w:p>
    <w:p>
      <w:r>
        <w:rPr>
          <w:color w:val="5A7D3A"/>
          <w:sz w:val="18"/>
        </w:rPr>
        <w:t>https://pubmed.ncbi.nlm.nih.gov/42616132/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KI-gestützte Selbstmanagement-App für Arbeitsfähigkeit nach Muskelskelettverletzungen: SmaRTWork-RCT in Norwegen</w:t>
      </w:r>
    </w:p>
    <w:p>
      <w:r>
        <w:rPr>
          <w:i/>
          <w:color w:val="666666"/>
          <w:sz w:val="18"/>
        </w:rPr>
        <w:t>Aasdahl L et al.  ·  BMJ Open  ·  18.08.2026  ·  PMID 42613108</w:t>
      </w:r>
    </w:p>
    <w:p>
      <w:r>
        <w:t>Randomisierte kontrollierte Studie zur Wirksamkeit einer individualisierten, KI-basierten App zur Unterstützung der Rückkehr in den Beruf bei Patienten mit Muskelskelettstörungen, durchgeführt in Norwegen mit 298 Teilnehmern über 12 Monate.</w:t>
      </w:r>
    </w:p>
    <w:p>
      <w:r>
        <w:rPr>
          <w:b/>
        </w:rPr>
        <w:t xml:space="preserve">Ergebnis: </w:t>
      </w:r>
      <w:r>
        <w:t>Primäres Outcome: Zeitraum bis zu einer nachhaltigen Rückkehr zur Arbeit (mindestens ein Monat ohne Krankmeldung) wird über Registry-Daten gemessen; sekundäre Outcomes erfassen Gesundheitsmaße nach 3, 6 und 12 Monaten. Die Studie ist noch nicht abgeschlossen (Protokoll); Ergebnisse stehen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Norwegisches Gesundheitssystem, vergleichbare Sozialversicherung mit Deutschland.</w:t>
      </w:r>
    </w:p>
    <w:p>
      <w:r>
        <w:rPr>
          <w:color w:val="5A7D3A"/>
          <w:sz w:val="18"/>
        </w:rPr>
        <w:t>https://pubmed.ncbi.nlm.nih.gov/42613108/</w:t>
      </w:r>
    </w:p>
    <w:p>
      <w:pPr>
        <w:pStyle w:val="Heading2"/>
      </w:pPr>
      <w:r>
        <w:t>Telemedizinische Fernüberwachung in kritischen Anästhesie-Szenarien: Simulationsstudie mit Standards-konformem System</w:t>
      </w:r>
    </w:p>
    <w:p>
      <w:r>
        <w:rPr>
          <w:i/>
          <w:color w:val="666666"/>
          <w:sz w:val="18"/>
        </w:rPr>
        <w:t>Roth J et al.  ·  JMIR Med Inform  ·  18.08.2026  ·  PMID 42612211</w:t>
      </w:r>
    </w:p>
    <w:p>
      <w:r>
        <w:t>Randomisierte Simulationsstudie mit 16 Anästhesie-Assistenzärten, die ein standardisiertes Telemedizin-Überwachungssystem (TSV) mit konventioneller Telefonunterstützung während Notfallszenarien vergleicht.</w:t>
      </w:r>
    </w:p>
    <w:p>
      <w:r>
        <w:rPr>
          <w:b/>
        </w:rPr>
        <w:t xml:space="preserve">Ergebnis: </w:t>
      </w:r>
      <w:r>
        <w:t>SOP-Vollständigung Interventionsgruppe 91,6 % (SD 0,05), Kontrollgruppe 92,5 % (SD 0,04), kein signifikanter Unterschied (P=0,67). Mentale Belastung niedriger mit TSV, aber höhere zeitliche Anforderungen; Nutzer bewerteten TSV als praktikable Alternative.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(RWTH Aachen), direkt übertragbar auf deutsche Operationssäle und Dokumentationspflichten.</w:t>
      </w:r>
    </w:p>
    <w:p>
      <w:r>
        <w:rPr>
          <w:color w:val="5A7D3A"/>
          <w:sz w:val="18"/>
        </w:rPr>
        <w:t>https://pubmed.ncbi.nlm.nih.gov/42612211/</w:t>
      </w:r>
    </w:p>
    <w:p>
      <w:pPr>
        <w:pStyle w:val="Heading2"/>
      </w:pPr>
      <w:r>
        <w:t>Gemischte Reminder-Strategien zur Steigerung der E-Cohort-Teilnahme: randomisierte Kontrollstudie</w:t>
      </w:r>
    </w:p>
    <w:p>
      <w:r>
        <w:rPr>
          <w:i/>
          <w:color w:val="666666"/>
          <w:sz w:val="18"/>
        </w:rPr>
        <w:t>Soyer J et al.  ·  J Med Internet Res  ·  18.08.2026  ·  PMID 42611049</w:t>
      </w:r>
    </w:p>
    <w:p>
      <w:r>
        <w:t>Randomisierte Kontrollstudie mit 20.487 Teilnehmern, die E-Mail-, SMS- und kombinierte Reminder-Strategien zur Verbesserung der Rekrutierung in einer großen französischen Online-Kohorte (Le French Gut) vergleicht.</w:t>
      </w:r>
    </w:p>
    <w:p>
      <w:r>
        <w:rPr>
          <w:b/>
        </w:rPr>
        <w:t xml:space="preserve">Ergebnis: </w:t>
      </w:r>
      <w:r>
        <w:t>Kombinierte Strategie (E-Mail + SMS + institutionelle E-Mail) erhöhte die Abschlussquote um 27 % (9,4 % vs. 7,4–8,3 %; P&lt;0,001). SMS führte zu schnelleren Antworten (mittlerer Abstand 6,3 Tage vs. 7,0–7,2 Tage), institutionelle E-Mails zeigten höhere Klickrate (23,1 % vs. 19,6 %;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Digitalisierungsstandards und Forschungsinfrastruktur in Kontinentaleuropa.</w:t>
      </w:r>
    </w:p>
    <w:p>
      <w:r>
        <w:rPr>
          <w:color w:val="5A7D3A"/>
          <w:sz w:val="18"/>
        </w:rPr>
        <w:t>https://pubmed.ncbi.nlm.nih.gov/42611049/</w:t>
      </w:r>
    </w:p>
    <w:p>
      <w:pPr>
        <w:pStyle w:val="Heading2"/>
      </w:pPr>
      <w:r>
        <w:t>CE-gekennzeichneter Large-Language-Model-Chatbot für evidenzbasierte Neurologie: Funktionalitätsprüfung</w:t>
      </w:r>
    </w:p>
    <w:p>
      <w:r>
        <w:rPr>
          <w:i/>
          <w:color w:val="666666"/>
          <w:sz w:val="18"/>
        </w:rPr>
        <w:t>Kirschner P et al.  ·  Eur J Neurol  ·  Aug. 2026  ·  PMID 42610794</w:t>
      </w:r>
    </w:p>
    <w:p>
      <w:r>
        <w:t>Evaluierung von Prof. Valmed, dem ersten CE-gekennzeichneten LLM-Tool für medizinische Informationsbeschaffung in Europa, an einem 130-Item-Benchmark basierend auf Richtlinien der American Academy of Neurology.</w:t>
      </w:r>
    </w:p>
    <w:p>
      <w:r>
        <w:rPr>
          <w:b/>
        </w:rPr>
        <w:t xml:space="preserve">Ergebnis: </w:t>
      </w:r>
      <w:r>
        <w:t>Prof. Valmed erreichte 76,2 % korrekte Antworten, 14,6 % ungenau, 6,9 % falsch, 2,3 % verweigert. Performance vergleichbar mit handelsüblichen LLM-Tools, signifikant besser als 8 Modelle, aber schlechter als ein reasoning-fähiges System mit Whitelisting von Neurologie-Quellen. CE-Kennzeichnung garantiert eher regulatorische Konformität als Leistungsvorteil.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(CE-Kennzeichnung europäisch gültig), aber regulatorischer Rahmen unterscheidet sich von FDA; klinischer Nutzen unabhängig vom Zulassungsstatus.</w:t>
      </w:r>
    </w:p>
    <w:p>
      <w:r>
        <w:rPr>
          <w:color w:val="5A7D3A"/>
          <w:sz w:val="18"/>
        </w:rPr>
        <w:t>https://pubmed.ncbi.nlm.nih.gov/42610794/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Large Language Models für deutsche Leitlinienempfehlungen: Retrieval-Augmented Generation mit Benchmark-Evaluierung</w:t>
      </w:r>
    </w:p>
    <w:p>
      <w:r>
        <w:rPr>
          <w:i/>
          <w:color w:val="666666"/>
          <w:sz w:val="18"/>
        </w:rPr>
        <w:t>Schwietering J et al.  ·  BMJ Health Care Inform  ·  11.08.2026  ·  PMID 42580812</w:t>
      </w:r>
    </w:p>
    <w:p>
      <w:r>
        <w:t>Entwicklung und Validierung des cpgQA-DE-Benchmarks mit 200 Fragen aus 10 deutschen Fachleitlinien; Evaluierung von LLMs mit Retrieval-Augmented Generation.</w:t>
      </w:r>
    </w:p>
    <w:p>
      <w:r>
        <w:rPr>
          <w:b/>
        </w:rPr>
        <w:t xml:space="preserve">Ergebnis: </w:t>
      </w:r>
      <w:r>
        <w:t>Best-Performing-Kombination (GPT-5 + multilingual-e5-large) erreichte 95% Genauigkeit; Open-Weight-Modell gpt-oss-120b mit RAG erzielte 90% Genauigkeit. RAG verbesserte Leistung über alle Modelle hinweg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Leitlinien und Kontext; direkt auf hiesige CDSS-Anforderungen übertragbar.</w:t>
      </w:r>
    </w:p>
    <w:p>
      <w:r>
        <w:rPr>
          <w:color w:val="5A7D3A"/>
          <w:sz w:val="18"/>
        </w:rPr>
        <w:t>https://pubmed.ncbi.nlm.nih.gov/42580812/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