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02.09.2026  |  6 Studien  |  ki.m-vf.de</w:t>
      </w:r>
    </w:p>
    <w:p>
      <w:pPr>
        <w:pStyle w:val="Heading1"/>
      </w:pPr>
      <w:r>
        <w:t>Aufgenommen am 02.09.2026</w:t>
      </w:r>
    </w:p>
    <w:p>
      <w:pPr>
        <w:pStyle w:val="Heading2"/>
      </w:pPr>
      <w:r>
        <w:t>LLM-gestützte Verhaltensaktivierung bei Depression: Expertenbewertung</w:t>
      </w:r>
    </w:p>
    <w:p>
      <w:r>
        <w:rPr>
          <w:i/>
          <w:color w:val="666666"/>
          <w:sz w:val="18"/>
        </w:rPr>
        <w:t>Kuhlmeier FO et al.  ·  JMIR Ment Health  ·  01.09.2026  ·  PMID 42679232</w:t>
      </w:r>
    </w:p>
    <w:p>
      <w:r>
        <w:t>GPT-4o-Chatbot für strukturierte Verhaltensaktivierungstherapie bei jungen Menschen mit Depression wurde mit 48 künstlichen Nutzersessions von 10 klinischen Experten bewertet.</w:t>
      </w:r>
    </w:p>
    <w:p>
      <w:r>
        <w:rPr>
          <w:b/>
        </w:rPr>
        <w:t xml:space="preserve">Ergebnis: </w:t>
      </w:r>
      <w:r>
        <w:t>Chatbot vollendete alle 7 Interventionsphasen; durchschnittliche Qualitätsbewertung 3,94 (SD 1,23), Q-BAS-Score 4,03 (SD 1,18). 13 von 14 Q-BAS-Komponenten überschritten Schwellenwert (3,0). Stärken: Sicherheit (5,90), Klarheit (5,56); Schwächen: Verstärkung erklären (2,92), Monitoring unterstützen (3,02). Experten attestierten struktu­rierten Aufbau, identifizierten aber unzureichende klinische Urteilsfähigkeit als Hauptlimitation.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Forschungsgruppen (Greifswald, Saarland, KIT Karlsruhe), psychotherapiebasierte Versorgung</w:t>
      </w:r>
    </w:p>
    <w:p>
      <w:r>
        <w:rPr>
          <w:color w:val="5A7D3A"/>
          <w:sz w:val="18"/>
        </w:rPr>
        <w:t>https://pubmed.ncbi.nlm.nih.gov/42679232/</w:t>
      </w:r>
    </w:p>
    <w:p>
      <w:pPr>
        <w:pStyle w:val="Heading2"/>
      </w:pPr>
      <w:r>
        <w:t>Hybrid- versus reine Präsenzbetreuung bei Herzerkrankungen</w:t>
      </w:r>
    </w:p>
    <w:p>
      <w:r>
        <w:rPr>
          <w:i/>
          <w:color w:val="666666"/>
          <w:sz w:val="18"/>
        </w:rPr>
        <w:t>Nielsen SK et al.  ·  J Med Internet Res  ·  01.09.2026  ·  PMID 42679096</w:t>
      </w:r>
    </w:p>
    <w:p>
      <w:r>
        <w:t>Kohortenstudie mit Daten aus Dänemarks nationalen Registern von 2019–2023 zur Häufigkeit und Ergebnissen virtueller Folgeuntersuchungen bei Vorhofflimmern, Herzinsuffizienz, Lungenembolie und Koronarsyndrom.</w:t>
      </w:r>
    </w:p>
    <w:p>
      <w:r>
        <w:rPr>
          <w:b/>
        </w:rPr>
        <w:t xml:space="preserve">Ergebnis: </w:t>
      </w:r>
      <w:r>
        <w:t>Von 45.919 (AF) bis 30.482 (HF) Patienten: 27,3% (AF) bis 51,7% (HF) hatten teilweise virtuelle Betreuung. Virtuelle Besuche korreliert mit Stadt-Residenz (AF: OR 1,27; HF: OR 1,38) und hoher Gebrechlichkeit (AF: OR 1,63). Initiation neuer Leitlinienmedikation unterschied sich marginal (HF-Beispiel: SGLT2i 2,23% virtuell vs. 4,47% in-person; Differenz −2,24%, 95% KI −2,61 bis −1,87).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Skandinavisches Digitalisierungsniveau deutlich höher als Deutschland; Patientenselektion nicht randomisiert</w:t>
      </w:r>
    </w:p>
    <w:p>
      <w:r>
        <w:rPr>
          <w:color w:val="5A7D3A"/>
          <w:sz w:val="18"/>
        </w:rPr>
        <w:t>https://pubmed.ncbi.nlm.nih.gov/42679096/</w:t>
      </w:r>
    </w:p>
    <w:p>
      <w:pPr>
        <w:pStyle w:val="Heading2"/>
      </w:pPr>
      <w:r>
        <w:t>KI-gestützte Stuhlkonsistenz-Bewertung per App zur Optimierung der Koloskopie-Vorbereitung</w:t>
      </w:r>
    </w:p>
    <w:p>
      <w:r>
        <w:rPr>
          <w:i/>
          <w:color w:val="666666"/>
          <w:sz w:val="18"/>
        </w:rPr>
        <w:t>Inaba A et al.  ·  JMIR Mhealth Uhealth  ·  01.09.2026  ·  PMID 42679048</w:t>
      </w:r>
    </w:p>
    <w:p>
      <w:r>
        <w:t>Prospektive multizentrische Machbarkeitsstudie (10 japanische Zentren, November 2022–Dezember 2023) mit Smartphone-App zur Bewertung der Stuhl­qualität während Darmvorbereitung mittels KI und Echtzeit-Viewer für medizinisches Personal.</w:t>
      </w:r>
    </w:p>
    <w:p>
      <w:r>
        <w:rPr>
          <w:b/>
        </w:rPr>
        <w:t xml:space="preserve">Ergebnis: </w:t>
      </w:r>
      <w:r>
        <w:t>Gesamtergebnis: 99,1% (323/326) der Patienten erreichten Primärendpunkt (BBPS ≥6). Mittlerer BBPS 8,5 (SD 1,0); 87,4% hatten exzellente Scores (≥8). Adenomdetektionsrate 46,9%, cecale Intubation 99,7%, durchschnittliche Rückzugszeit 10,7 Minuten. Patientenzufriedenheit: 98,5% fanden Tutorial verständlich, 96,0% Erfassung leicht, 87,8% weniger Angst. Personalzufriedenheit: 92,5% hielten Viewer notwendig, 89,6% einfach zu nutzen, 89,6% Arbeitsaufwand reduziert.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aber Methodik und Technologie-Nutzbarkeit auf europäische Kolonoskopie-Praxis übertragbar</w:t>
      </w:r>
    </w:p>
    <w:p>
      <w:r>
        <w:rPr>
          <w:color w:val="5A7D3A"/>
          <w:sz w:val="18"/>
        </w:rPr>
        <w:t>https://pubmed.ncbi.nlm.nih.gov/42679048/</w:t>
      </w:r>
    </w:p>
    <w:p>
      <w:pPr>
        <w:pStyle w:val="Heading2"/>
      </w:pPr>
      <w:r>
        <w:t>Large Language Models in europäischen Anästhesiologie-Prüfungen</w:t>
      </w:r>
    </w:p>
    <w:p>
      <w:r>
        <w:rPr>
          <w:i/>
          <w:color w:val="666666"/>
          <w:sz w:val="18"/>
        </w:rPr>
        <w:t>Andrei S et al.  ·  JMIR Form Res  ·  01.09.2026  ·  PMID 42678529</w:t>
      </w:r>
    </w:p>
    <w:p>
      <w:r>
        <w:t>Vergleichende Studie von Claude Sonnet 4.5, Gemini 2.5 Pro, GPT-5 und Grok 4 bei 437 Multiple-Choice-Fragen (1748 Queries) aus europäischen Anästhesiologie-Examina (EDAIC, Pflegeanästhesisten).</w:t>
      </w:r>
    </w:p>
    <w:p>
      <w:r>
        <w:rPr>
          <w:b/>
        </w:rPr>
        <w:t xml:space="preserve">Ergebnis: </w:t>
      </w:r>
      <w:r>
        <w:t>Erfolgsquoten 86% bis 94% (alle über EDAIC-Teil-I-Bestehensgrenze). Signifikante Unterschiede zwischen Modellen nur für EDAIC (Friedman χ²=13,9; p=0,003; W=0,02): Gemini vs. GPT-5 statistisch bedeutsam. Halluzinationsrate 11% bis 20,1% ohne signifikante Unterschiede. Schlussfolgerung: Hohe Leistung aber klinisch relevante Halluzinationen (11–20%), daher nur als überwachte Lernwerkzeuge geeignet.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europäische Studie (Frankreich, Rumänien), europäische Zertifizierungen</w:t>
      </w:r>
    </w:p>
    <w:p>
      <w:r>
        <w:rPr>
          <w:color w:val="5A7D3A"/>
          <w:sz w:val="18"/>
        </w:rPr>
        <w:t>https://pubmed.ncbi.nlm.nih.gov/42678529/</w:t>
      </w:r>
    </w:p>
    <w:p>
      <w:pPr>
        <w:pStyle w:val="Heading2"/>
      </w:pPr>
      <w:r>
        <w:t>Smartphone-basiertes Distress-Screening bei Sarkomapatien</w:t>
      </w:r>
    </w:p>
    <w:p>
      <w:r>
        <w:rPr>
          <w:i/>
          <w:color w:val="666666"/>
          <w:sz w:val="18"/>
        </w:rPr>
        <w:t>Lenze F et al.  ·  Anticancer Res  ·  Sept. 2026  ·  PMID 42674702</w:t>
      </w:r>
    </w:p>
    <w:p>
      <w:r>
        <w:t>Prospektive Machbarkeitsstudie mit 45 Sarkoma-Patienten: Psychoonkologisches Distress-Screening per Smartphone mit Fragebogen QSC-R10 an zwei Zeitpunkten, Usability-Messung mit System Usability Scale.</w:t>
      </w:r>
    </w:p>
    <w:p>
      <w:r>
        <w:rPr>
          <w:b/>
        </w:rPr>
        <w:t xml:space="preserve">Ergebnis: </w:t>
      </w:r>
      <w:r>
        <w:t>QSC-R10-Mittelwerte signifikant von T1 zu T2 gesunken (p=0,034). Patienten mit Rezidiven zeigten signifikant höheres Distress bei Follow-up (p=0,012). Usability hoch: SUS 83,78±12,68. Gesamtzufriedenheit hoch. App wird als machbar und gut akzeptiert bewertet.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Klinikgruppe (TU München), deutsches Gesundheitssystem-Setting</w:t>
      </w:r>
    </w:p>
    <w:p>
      <w:r>
        <w:rPr>
          <w:color w:val="5A7D3A"/>
          <w:sz w:val="18"/>
        </w:rPr>
        <w:t>https://pubmed.ncbi.nlm.nih.gov/42674702/</w:t>
      </w:r>
    </w:p>
    <w:p>
      <w:pPr>
        <w:pStyle w:val="Heading2"/>
      </w:pPr>
      <w:r>
        <w:t>Perioperative Versorgungsqualität in Thoraxchirurgie mittels KI-gestützter Leitliniensynopse</w:t>
      </w:r>
    </w:p>
    <w:p>
      <w:r>
        <w:rPr>
          <w:i/>
          <w:color w:val="666666"/>
          <w:sz w:val="18"/>
        </w:rPr>
        <w:t>Jahn N et al.  ·  Zentralbl Chir  ·  21.08.2026  ·  PMID 42628535</w:t>
      </w:r>
    </w:p>
    <w:p>
      <w:r>
        <w:t>Narrative Übersicht mit KI-assistiertem Verfassungs- und menschlich kontrolliertem Verifikations-Workflow zur Optimierung postoperativer Versorgung bei Thoraxchirurgie, fokussierend auf PPCs, Frailty, Prehabilitation und Kontinuum der Pflege.</w:t>
      </w:r>
    </w:p>
    <w:p>
      <w:r>
        <w:rPr>
          <w:b/>
        </w:rPr>
        <w:t xml:space="preserve">Ergebnis: </w:t>
      </w:r>
      <w:r>
        <w:t>Präoperatives Screening (Frailty, Ernährung) identifiziert Hochrisikogruppen. Prehabilitation reduziert PPCs und Liegedauer signifikant. PEEP-Titration, erector spinae plane blocks, High-Flow-Nasalsauerstoff präferiert über Standard-Nicht­invasivbeatmung. Procalcitonin-gesteuertes Antibiotic Stewardship reduziert Exposition. Failure-to-Rescue-Konzept mit Wearable-Monitoring zur Vermeidung ungeplanter ICU-Aufnahmen kritisch.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 und Deutschland (Graz, Leipzig), europäisches Versorgungssystem</w:t>
      </w:r>
    </w:p>
    <w:p>
      <w:r>
        <w:rPr>
          <w:color w:val="5A7D3A"/>
          <w:sz w:val="18"/>
        </w:rPr>
        <w:t>https://pubmed.ncbi.nlm.nih.gov/42628535/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2026-09-02T06:00:00Z</dcterms:created>
  <dcterms:modified xsi:type="dcterms:W3CDTF">2026-09-02T06:00:00Z</dcterms:modified>
  <cp:category/>
</cp:coreProperties>
</file>