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26.10.2026  |  6 Studien  |  ki.m-vf.de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Machine Learning zur Verbesserung von Medikamentenberatung in der Apotheke</w:t>
      </w:r>
    </w:p>
    <w:p>
      <w:r>
        <w:rPr>
          <w:i/>
          <w:color w:val="666666"/>
          <w:sz w:val="18"/>
        </w:rPr>
        <w:t>Zamran M et al.  ·  J Manag Care Spec Pharm  ·  Nov. 2026  ·  PMID 42925248</w:t>
      </w:r>
    </w:p>
    <w:p>
      <w:r>
        <w:t>Studie vergleich ML-basierte Zielidentifikation von Patienten für Apotheken-Beratungen mit traditionellen Kriterien in realen US-Versorgungsdaten.</w:t>
      </w:r>
    </w:p>
    <w:p>
      <w:r>
        <w:rPr>
          <w:b/>
        </w:rPr>
        <w:t xml:space="preserve">Ergebnis: </w:t>
      </w:r>
      <w:r>
        <w:t>ML-Kohorte erreichte 21,2% Annahme-Quote vs. 12,6% historische Kohorte (8,6 Prozentpunkte Anstieg, RR 1,68; p&lt;0,001); Robustheit gegenüber Confounding (E-Wert 2,75)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methodisch robust, aber proprietäres System</w:t>
      </w:r>
    </w:p>
    <w:p>
      <w:r>
        <w:rPr>
          <w:color w:val="5A7D3A"/>
          <w:sz w:val="18"/>
        </w:rPr>
        <w:t>https://pubmed.ncbi.nlm.nih.gov/42925248/</w:t>
      </w:r>
    </w:p>
    <w:p>
      <w:pPr>
        <w:pStyle w:val="Heading2"/>
      </w:pPr>
      <w:r>
        <w:t>KI-gestützte Bewegungserkennung für Ergonomie-Risikobeurteilung am Arbeitsplatz</w:t>
      </w:r>
    </w:p>
    <w:p>
      <w:r>
        <w:rPr>
          <w:i/>
          <w:color w:val="666666"/>
          <w:sz w:val="18"/>
        </w:rPr>
        <w:t>Doro B et al.  ·  Med Lav  ·  23.10.2026  ·  PMID 42925046</w:t>
      </w:r>
    </w:p>
    <w:p>
      <w:r>
        <w:t>Studie entwickelte und validierte ein Skeletal-Pose-Erkennungs-System mit Graph Convolutional Networks zur automatisierten Ergonomie-Risikobeurteilung (OCRA) in echten Produktionsumgebungen.</w:t>
      </w:r>
    </w:p>
    <w:p>
      <w:r>
        <w:rPr>
          <w:b/>
        </w:rPr>
        <w:t xml:space="preserve">Ergebnis: </w:t>
      </w:r>
      <w:r>
        <w:t>Modell erreichte ~60% Klassifizierungsgenauigkeit und übertraf deutlich Frequenz- (12%) und Dauer-basierte Baselines (24%); technische Machbarkeit in unkontrollierten Fertigungsumgebungen ohne spezielle Sensorik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Italien-Studie, markerlose Erfassung übertragbar, aber noch kleine Datensätze</w:t>
      </w:r>
    </w:p>
    <w:p>
      <w:r>
        <w:rPr>
          <w:color w:val="5A7D3A"/>
          <w:sz w:val="18"/>
        </w:rPr>
        <w:t>https://pubmed.ncbi.nlm.nih.gov/42925046/</w:t>
      </w:r>
    </w:p>
    <w:p>
      <w:pPr>
        <w:pStyle w:val="Heading2"/>
      </w:pPr>
      <w:r>
        <w:t>KI-gestützte Echtzeit-Übersetzung in TCM-Praxis: Praktiker berichten Defizite</w:t>
      </w:r>
    </w:p>
    <w:p>
      <w:r>
        <w:rPr>
          <w:i/>
          <w:color w:val="666666"/>
          <w:sz w:val="18"/>
        </w:rPr>
        <w:t>Geng B et al.  ·  Front Public Health  ·  01.10.2026  ·  PMID 42924203</w:t>
      </w:r>
    </w:p>
    <w:p>
      <w:r>
        <w:t>Qualitative Studie mit 21 TCM-Praktikern untersuchte Perspektiven auf KI-assistierte Ad-hoc-Übersetzung im klinischen Alltag mittels thematischer Analyse.</w:t>
      </w:r>
    </w:p>
    <w:p>
      <w:r>
        <w:rPr>
          <w:b/>
        </w:rPr>
        <w:t xml:space="preserve">Ergebnis: </w:t>
      </w:r>
      <w:r>
        <w:t>6 Themen identifiziert: Informationsverlust und diagnostische Unsicherheit, Machtungleichgewichte, Kommunikationsbarrieren und Erosion beruflicher Identität; Praktiker berichten erhebliche Nachteile des Ad-hoc+KI-Modus gegenüber professionellen Dolmetschern.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Evidenz aus China zur Implementierungsproblematik, international relevant</w:t>
      </w:r>
    </w:p>
    <w:p>
      <w:r>
        <w:rPr>
          <w:color w:val="5A7D3A"/>
          <w:sz w:val="18"/>
        </w:rPr>
        <w:t>https://pubmed.ncbi.nlm.nih.gov/42924203/</w:t>
      </w:r>
    </w:p>
    <w:p>
      <w:pPr>
        <w:pStyle w:val="Heading2"/>
      </w:pPr>
      <w:r>
        <w:t>ML-Modell für Pneumonie-Risiko nach Hirnblutung-OP mit Explainability</w:t>
      </w:r>
    </w:p>
    <w:p>
      <w:r>
        <w:rPr>
          <w:i/>
          <w:color w:val="666666"/>
          <w:sz w:val="18"/>
        </w:rPr>
        <w:t>Li L et al.  ·  Front Neurol  ·  08.10.2026  ·  PMID 42923169</w:t>
      </w:r>
    </w:p>
    <w:p>
      <w:r>
        <w:t>Dual-Kohorten-Studie entwickelte und validierte Machine-Learning-Modelle zur Vorhersage postoperativer Lungeninfektionen nach Aneurysma-Clipping; zusätzlich explorativ EN-Timing analysiert.</w:t>
      </w:r>
    </w:p>
    <w:p>
      <w:r>
        <w:rPr>
          <w:b/>
        </w:rPr>
        <w:t xml:space="preserve">Ergebnis: </w:t>
      </w:r>
      <w:r>
        <w:t>Naive-Bayes-Modell zeigte beste Validierungs-Performance (AUC 0,811; 95%-KI 0,755–0,855); SHAP-Analyse identifizierte Hauptprädiktoren; EN-Timing zeigte nichtlineares Muster mit Inflektionspunkt 24,0 h (95% Bootstrap-KI 23,0–27,0 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China-Daten, Methodik (TRIPOD+AI) international anwendbar</w:t>
      </w:r>
    </w:p>
    <w:p>
      <w:r>
        <w:rPr>
          <w:color w:val="5A7D3A"/>
          <w:sz w:val="18"/>
        </w:rPr>
        <w:t>https://pubmed.ncbi.nlm.nih.gov/42923169/</w:t>
      </w:r>
    </w:p>
    <w:p>
      <w:pPr>
        <w:pStyle w:val="Heading2"/>
      </w:pPr>
      <w:r>
        <w:t>Deep Learning zur automatisierten Pilz-Detektion in Mikroskopie-Bildern</w:t>
      </w:r>
    </w:p>
    <w:p>
      <w:r>
        <w:rPr>
          <w:i/>
          <w:color w:val="666666"/>
          <w:sz w:val="18"/>
        </w:rPr>
        <w:t>Liu M et al.  ·  Front Cell Infect Microbiol  ·  08.10.2026  ·  PMID 42923083</w:t>
      </w:r>
    </w:p>
    <w:p>
      <w:r>
        <w:t>Studie verglich 6 Deep-Learning-Modelle (YOLO, CNN, DETR) für automatisierte Erkennung von Pilzstrukturen in Oberflächenmykosen und optimierte das beste Modell zur klinischen Einsatz.</w:t>
      </w:r>
    </w:p>
    <w:p>
      <w:r>
        <w:rPr>
          <w:b/>
        </w:rPr>
        <w:t xml:space="preserve">Ergebnis: </w:t>
      </w:r>
      <w:r>
        <w:t>YOLOv11 übertraf alle anderen Modelle; nach Optimierung (IoU-Schwelle 0,25) F1-Score für Hyphen bei 200× 97,84%, positive Vorhersagequote 98,27%; Robustheit über Erkrankungen hinweg, tinea capitis F1 98,53%.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China-Daten, standardisierte Methoden, Einsatz als Entscheidungsunterstützung validiert</w:t>
      </w:r>
    </w:p>
    <w:p>
      <w:r>
        <w:rPr>
          <w:color w:val="5A7D3A"/>
          <w:sz w:val="18"/>
        </w:rPr>
        <w:t>https://pubmed.ncbi.nlm.nih.gov/42923083/</w:t>
      </w:r>
    </w:p>
    <w:p>
      <w:pPr>
        <w:pStyle w:val="Heading2"/>
      </w:pPr>
      <w:r>
        <w:t>Elektronische Patientenakten: Variation in Diagnose-Codes behindert Forschung</w:t>
      </w:r>
    </w:p>
    <w:p>
      <w:r>
        <w:rPr>
          <w:i/>
          <w:color w:val="666666"/>
          <w:sz w:val="18"/>
        </w:rPr>
        <w:t>Kelly B et al.  ·  Int J Popul Data Sci  ·  24.09.2026  ·  PMID 42921042</w:t>
      </w:r>
    </w:p>
    <w:p>
      <w:r>
        <w:t>Studie untersuchte Unterschiede in Kodierungssystemen zur Definition von Erkrankungen in britischen elektronischen Gesundheitsakten an 8 häufigen Erkrankungen.</w:t>
      </w:r>
    </w:p>
    <w:p>
      <w:r>
        <w:rPr>
          <w:b/>
        </w:rPr>
        <w:t xml:space="preserve">Ergebnis: </w:t>
      </w:r>
      <w:r>
        <w:t>Kappa-Werte für Übereinstimmung zwischen Codelisten waren niedrig bis mittelmäßig; nur COPD und Depression erreichten konsistent faire bis moderate Übereinstimmung (Kappa 0,21–0,60), andere Erkrankungen nur faire Übereinstimmung maximal. Diagnostische Codes zeigten höhere Übereinstimmung als administrative Codes.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vergleichbare Interoperabilitätsprobleme in deutschem Gesundheitswesen</w:t>
      </w:r>
    </w:p>
    <w:p>
      <w:r>
        <w:rPr>
          <w:color w:val="5A7D3A"/>
          <w:sz w:val="18"/>
        </w:rPr>
        <w:t>https://pubmed.ncbi.nlm.nih.gov/42921042/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