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26.10.2026  |  400 Studien  |  ki.m-vf.de</w:t>
      </w:r>
    </w:p>
    <w:p>
      <w:pPr>
        <w:pStyle w:val="Heading1"/>
      </w:pPr>
      <w:r>
        <w:t>Aufgenommen am 26.10.2026</w:t>
      </w:r>
    </w:p>
    <w:p>
      <w:pPr>
        <w:pStyle w:val="Heading2"/>
      </w:pPr>
      <w:r>
        <w:t>Machine Learning zur Verbesserung von Medikamentenberatung in der Apotheke</w:t>
      </w:r>
    </w:p>
    <w:p>
      <w:r>
        <w:rPr>
          <w:i/>
          <w:color w:val="666666"/>
          <w:sz w:val="18"/>
        </w:rPr>
        <w:t>Zamran M et al.  ·  J Manag Care Spec Pharm  ·  Nov. 2026  ·  PMID 42925248</w:t>
      </w:r>
    </w:p>
    <w:p>
      <w:r>
        <w:t>Studie vergleich ML-basierte Zielidentifikation von Patienten für Apotheken-Beratungen mit traditionellen Kriterien in realen US-Versorgungsdaten.</w:t>
      </w:r>
    </w:p>
    <w:p>
      <w:r>
        <w:rPr>
          <w:b/>
        </w:rPr>
        <w:t xml:space="preserve">Ergebnis: </w:t>
      </w:r>
      <w:r>
        <w:t>ML-Kohorte erreichte 21,2% Annahme-Quote vs. 12,6% historische Kohorte (8,6 Prozentpunkte Anstieg, RR 1,68; p&lt;0,001); Robustheit gegenüber Confounding (E-Wert 2,75) bestätigt.</w:t>
      </w:r>
    </w:p>
    <w:p>
      <w:r>
        <w:rPr>
          <w:b/>
          <w:sz w:val="19"/>
        </w:rPr>
        <w:t xml:space="preserve">Übertragbarkeit: </w:t>
      </w:r>
      <w:r>
        <w:rPr>
          <w:sz w:val="19"/>
        </w:rPr>
        <w:t>USA-Daten, methodisch robust, aber proprietäres System</w:t>
      </w:r>
    </w:p>
    <w:p>
      <w:r>
        <w:rPr>
          <w:color w:val="5A7D3A"/>
          <w:sz w:val="18"/>
        </w:rPr>
        <w:t>https://pubmed.ncbi.nlm.nih.gov/42925248/</w:t>
      </w:r>
    </w:p>
    <w:p>
      <w:pPr>
        <w:pStyle w:val="Heading2"/>
      </w:pPr>
      <w:r>
        <w:t>KI-gestützte Bewegungserkennung für Ergonomie-Risikobeurteilung am Arbeitsplatz</w:t>
      </w:r>
    </w:p>
    <w:p>
      <w:r>
        <w:rPr>
          <w:i/>
          <w:color w:val="666666"/>
          <w:sz w:val="18"/>
        </w:rPr>
        <w:t>Doro B et al.  ·  Med Lav  ·  23.10.2026  ·  PMID 42925046</w:t>
      </w:r>
    </w:p>
    <w:p>
      <w:r>
        <w:t>Studie entwickelte und validierte ein Skeletal-Pose-Erkennungs-System mit Graph Convolutional Networks zur automatisierten Ergonomie-Risikobeurteilung (OCRA) in echten Produktionsumgebungen.</w:t>
      </w:r>
    </w:p>
    <w:p>
      <w:r>
        <w:rPr>
          <w:b/>
        </w:rPr>
        <w:t xml:space="preserve">Ergebnis: </w:t>
      </w:r>
      <w:r>
        <w:t>Modell erreichte ~60% Klassifizierungsgenauigkeit und übertraf deutlich Frequenz- (12%) und Dauer-basierte Baselines (24%); technische Machbarkeit in unkontrollierten Fertigungsumgebungen ohne spezielle Sensorik demonstriert.</w:t>
      </w:r>
    </w:p>
    <w:p>
      <w:r>
        <w:rPr>
          <w:b/>
          <w:sz w:val="19"/>
        </w:rPr>
        <w:t xml:space="preserve">Übertragbarkeit: </w:t>
      </w:r>
      <w:r>
        <w:rPr>
          <w:sz w:val="19"/>
        </w:rPr>
        <w:t>Italien-Studie, markerlose Erfassung übertragbar, aber noch kleine Datensätze</w:t>
      </w:r>
    </w:p>
    <w:p>
      <w:r>
        <w:rPr>
          <w:color w:val="5A7D3A"/>
          <w:sz w:val="18"/>
        </w:rPr>
        <w:t>https://pubmed.ncbi.nlm.nih.gov/42925046/</w:t>
      </w:r>
    </w:p>
    <w:p>
      <w:pPr>
        <w:pStyle w:val="Heading2"/>
      </w:pPr>
      <w:r>
        <w:t>KI-gestützte Echtzeit-Übersetzung in TCM-Praxis: Praktiker berichten Defizite</w:t>
      </w:r>
    </w:p>
    <w:p>
      <w:r>
        <w:rPr>
          <w:i/>
          <w:color w:val="666666"/>
          <w:sz w:val="18"/>
        </w:rPr>
        <w:t>Geng B et al.  ·  Front Public Health  ·  01.10.2026  ·  PMID 42924203</w:t>
      </w:r>
    </w:p>
    <w:p>
      <w:r>
        <w:t>Qualitative Studie mit 21 TCM-Praktikern untersuchte Perspektiven auf KI-assistierte Ad-hoc-Übersetzung im klinischen Alltag mittels thematischer Analyse.</w:t>
      </w:r>
    </w:p>
    <w:p>
      <w:r>
        <w:rPr>
          <w:b/>
        </w:rPr>
        <w:t xml:space="preserve">Ergebnis: </w:t>
      </w:r>
      <w:r>
        <w:t>6 Themen identifiziert: Informationsverlust und diagnostische Unsicherheit, Machtungleichgewichte, Kommunikationsbarrieren und Erosion beruflicher Identität; Praktiker berichten erhebliche Nachteile des Ad-hoc+KI-Modus gegenüber professionellen Dolmetschern.</w:t>
      </w:r>
    </w:p>
    <w:p>
      <w:r>
        <w:rPr>
          <w:b/>
          <w:sz w:val="19"/>
        </w:rPr>
        <w:t xml:space="preserve">Übertragbarkeit: </w:t>
      </w:r>
      <w:r>
        <w:rPr>
          <w:sz w:val="19"/>
        </w:rPr>
        <w:t>Qualitative Evidenz aus China zur Implementierungsproblematik, international relevant</w:t>
      </w:r>
    </w:p>
    <w:p>
      <w:r>
        <w:rPr>
          <w:color w:val="5A7D3A"/>
          <w:sz w:val="18"/>
        </w:rPr>
        <w:t>https://pubmed.ncbi.nlm.nih.gov/42924203/</w:t>
      </w:r>
    </w:p>
    <w:p>
      <w:pPr>
        <w:pStyle w:val="Heading2"/>
      </w:pPr>
      <w:r>
        <w:t>ML-Modell für Pneumonie-Risiko nach Hirnblutung-OP mit Explainability</w:t>
      </w:r>
    </w:p>
    <w:p>
      <w:r>
        <w:rPr>
          <w:i/>
          <w:color w:val="666666"/>
          <w:sz w:val="18"/>
        </w:rPr>
        <w:t>Li L et al.  ·  Front Neurol  ·  08.10.2026  ·  PMID 42923169</w:t>
      </w:r>
    </w:p>
    <w:p>
      <w:r>
        <w:t>Dual-Kohorten-Studie entwickelte und validierte Machine-Learning-Modelle zur Vorhersage postoperativer Lungeninfektionen nach Aneurysma-Clipping; zusätzlich explorativ EN-Timing analysiert.</w:t>
      </w:r>
    </w:p>
    <w:p>
      <w:r>
        <w:rPr>
          <w:b/>
        </w:rPr>
        <w:t xml:space="preserve">Ergebnis: </w:t>
      </w:r>
      <w:r>
        <w:t>Naive-Bayes-Modell zeigte beste Validierungs-Performance (AUC 0,811; 95%-KI 0,755–0,855); SHAP-Analyse identifizierte Hauptprädiktoren; EN-Timing zeigte nichtlineares Muster mit Inflektionspunkt 24,0 h (95% Bootstrap-KI 23,0–27,0 h).</w:t>
      </w:r>
    </w:p>
    <w:p>
      <w:r>
        <w:rPr>
          <w:b/>
          <w:sz w:val="19"/>
        </w:rPr>
        <w:t xml:space="preserve">Übertragbarkeit: </w:t>
      </w:r>
      <w:r>
        <w:rPr>
          <w:sz w:val="19"/>
        </w:rPr>
        <w:t>China-Daten, Methodik (TRIPOD+AI) international anwendbar</w:t>
      </w:r>
    </w:p>
    <w:p>
      <w:r>
        <w:rPr>
          <w:color w:val="5A7D3A"/>
          <w:sz w:val="18"/>
        </w:rPr>
        <w:t>https://pubmed.ncbi.nlm.nih.gov/42923169/</w:t>
      </w:r>
    </w:p>
    <w:p>
      <w:pPr>
        <w:pStyle w:val="Heading2"/>
      </w:pPr>
      <w:r>
        <w:t>Deep Learning zur automatisierten Pilz-Detektion in Mikroskopie-Bildern</w:t>
      </w:r>
    </w:p>
    <w:p>
      <w:r>
        <w:rPr>
          <w:i/>
          <w:color w:val="666666"/>
          <w:sz w:val="18"/>
        </w:rPr>
        <w:t>Liu M et al.  ·  Front Cell Infect Microbiol  ·  08.10.2026  ·  PMID 42923083</w:t>
      </w:r>
    </w:p>
    <w:p>
      <w:r>
        <w:t>Studie verglich 6 Deep-Learning-Modelle (YOLO, CNN, DETR) für automatisierte Erkennung von Pilzstrukturen in Oberflächenmykosen und optimierte das beste Modell zur klinischen Einsatz.</w:t>
      </w:r>
    </w:p>
    <w:p>
      <w:r>
        <w:rPr>
          <w:b/>
        </w:rPr>
        <w:t xml:space="preserve">Ergebnis: </w:t>
      </w:r>
      <w:r>
        <w:t>YOLOv11 übertraf alle anderen Modelle; nach Optimierung (IoU-Schwelle 0,25) F1-Score für Hyphen bei 200× 97,84%, positive Vorhersagequote 98,27%; Robustheit über Erkrankungen hinweg, tinea capitis F1 98,53%.</w:t>
      </w:r>
    </w:p>
    <w:p>
      <w:r>
        <w:rPr>
          <w:b/>
          <w:sz w:val="19"/>
        </w:rPr>
        <w:t xml:space="preserve">Übertragbarkeit: </w:t>
      </w:r>
      <w:r>
        <w:rPr>
          <w:sz w:val="19"/>
        </w:rPr>
        <w:t>China-Daten, standardisierte Methoden, Einsatz als Entscheidungsunterstützung validiert</w:t>
      </w:r>
    </w:p>
    <w:p>
      <w:r>
        <w:rPr>
          <w:color w:val="5A7D3A"/>
          <w:sz w:val="18"/>
        </w:rPr>
        <w:t>https://pubmed.ncbi.nlm.nih.gov/42923083/</w:t>
      </w:r>
    </w:p>
    <w:p>
      <w:pPr>
        <w:pStyle w:val="Heading2"/>
      </w:pPr>
      <w:r>
        <w:t>Elektronische Patientenakten: Variation in Diagnose-Codes behindert Forschung</w:t>
      </w:r>
    </w:p>
    <w:p>
      <w:r>
        <w:rPr>
          <w:i/>
          <w:color w:val="666666"/>
          <w:sz w:val="18"/>
        </w:rPr>
        <w:t>Kelly B et al.  ·  Int J Popul Data Sci  ·  24.09.2026  ·  PMID 42921042</w:t>
      </w:r>
    </w:p>
    <w:p>
      <w:r>
        <w:t>Studie untersuchte Unterschiede in Kodierungssystemen zur Definition von Erkrankungen in britischen elektronischen Gesundheitsakten an 8 häufigen Erkrankungen.</w:t>
      </w:r>
    </w:p>
    <w:p>
      <w:r>
        <w:rPr>
          <w:b/>
        </w:rPr>
        <w:t xml:space="preserve">Ergebnis: </w:t>
      </w:r>
      <w:r>
        <w:t>Kappa-Werte für Übereinstimmung zwischen Codelisten waren niedrig bis mittelmäßig; nur COPD und Depression erreichten konsistent faire bis moderate Übereinstimmung (Kappa 0,21–0,60), andere Erkrankungen nur faire Übereinstimmung maximal. Diagnostische Codes zeigten höhere Übereinstimmung als administrative Codes.</w:t>
      </w:r>
    </w:p>
    <w:p>
      <w:r>
        <w:rPr>
          <w:b/>
          <w:sz w:val="19"/>
        </w:rPr>
        <w:t xml:space="preserve">Übertragbarkeit: </w:t>
      </w:r>
      <w:r>
        <w:rPr>
          <w:sz w:val="19"/>
        </w:rPr>
        <w:t>UK-System, vergleichbare Interoperabilitätsprobleme in deutschem Gesundheitswesen</w:t>
      </w:r>
    </w:p>
    <w:p>
      <w:r>
        <w:rPr>
          <w:color w:val="5A7D3A"/>
          <w:sz w:val="18"/>
        </w:rPr>
        <w:t>https://pubmed.ncbi.nlm.nih.gov/42921042/</w:t>
      </w:r>
    </w:p>
    <w:p>
      <w:pPr>
        <w:pStyle w:val="Heading1"/>
      </w:pPr>
      <w:r>
        <w:t>Aufgenommen am 25.10.2026</w:t>
      </w:r>
    </w:p>
    <w:p>
      <w:pPr>
        <w:pStyle w:val="Heading2"/>
      </w:pPr>
      <w:r>
        <w:t>KI-gestützte Ultraschalldiagnostik bei Traumapatienten: Überblick über Einsatzmöglichkeiten</w:t>
      </w:r>
    </w:p>
    <w:p>
      <w:r>
        <w:rPr>
          <w:i/>
          <w:color w:val="666666"/>
          <w:sz w:val="18"/>
        </w:rPr>
        <w:t>Yazıcı MM et al.  ·  BMC Med Imaging  ·  23.07.2026  ·  PMID 42920145</w:t>
      </w:r>
    </w:p>
    <w:p>
      <w:r>
        <w:t>Scoping Review über 21 Studien zu AI-Anwendungen in der Notfall-Ultraschalldiagnostik (FAST, Thorax-, Extremitätenverletzungen), die bisher nur auf retrospektive Kohorten mit begrenzte externer Validierung beschränkt sind.</w:t>
      </w:r>
    </w:p>
    <w:p>
      <w:r>
        <w:rPr>
          <w:b/>
        </w:rPr>
        <w:t xml:space="preserve">Ergebnis: </w:t>
      </w:r>
      <w:r>
        <w:t>Hohe retrospektive diagnostische Genauigkeit in Entwicklungsphasen gezeigt, aber nur eine Studie mit externer Validierung. Kritische Lücken: Keine Patientenergebnisse (Mortalität, Interventionszeit) gemessen, fehlende Interpretierbarkeit, Regulierungshindernisse und mangelndes Vertrauen der Kliniker identifiziert.</w:t>
      </w:r>
    </w:p>
    <w:p>
      <w:r>
        <w:rPr>
          <w:b/>
          <w:sz w:val="19"/>
        </w:rPr>
        <w:t xml:space="preserve">Übertragbarkeit: </w:t>
      </w:r>
      <w:r>
        <w:rPr>
          <w:sz w:val="19"/>
        </w:rPr>
        <w:t>Methodisches Problem auch für Deutschland: Prospektive RCTs mit Ergebnismessung erforderlich vor klinischer Einführung.</w:t>
      </w:r>
    </w:p>
    <w:p>
      <w:r>
        <w:rPr>
          <w:color w:val="5A7D3A"/>
          <w:sz w:val="18"/>
        </w:rPr>
        <w:t>https://pubmed.ncbi.nlm.nih.gov/42920145/</w:t>
      </w:r>
    </w:p>
    <w:p>
      <w:pPr>
        <w:pStyle w:val="Heading2"/>
      </w:pPr>
      <w:r>
        <w:t>Deep Learning für Osteoporose-Screening auf Routine-Thoraxbildern: Kosteneffektivitätsanalyse</w:t>
      </w:r>
    </w:p>
    <w:p>
      <w:r>
        <w:rPr>
          <w:i/>
          <w:color w:val="666666"/>
          <w:sz w:val="18"/>
        </w:rPr>
        <w:t>Shi BX et al.  ·  Arch Osteoporos  ·  23.10.2026  ·  PMID 42920040</w:t>
      </w:r>
    </w:p>
    <w:p>
      <w:r>
        <w:t>Kosteneffektivitätsanalyse eines Deep Learning-Modells zur opportunistischen Osteoporose-Detektion auf vorhandenen Thorax-Röntgenbildern bei postmenopausalen Frauen in Taiwan, unter Berücksichtigung von Diagnostic Performance, Bestätigungstestung und Therapieeinleitung.</w:t>
      </w:r>
    </w:p>
    <w:p>
      <w:r>
        <w:rPr>
          <w:b/>
        </w:rPr>
        <w:t xml:space="preserve">Ergebnis: </w:t>
      </w:r>
      <w:r>
        <w:t>Im Basisszenario mit vollständigem Behandlungspfad war KI-Screening kosteneffektiv (ICER 21.827 USD pro QALY, unterhalb Taiwan-Schwellwert). Wirtschaftlicher Nutzen entstanden bei Osteoporose-Prävalenz &gt;14,3%, optimale Sensitivität 86,6%, Spezifität 76,3%. In realen Taiwanese Daten sank der Wert jedoch erheblich.</w:t>
      </w:r>
    </w:p>
    <w:p>
      <w:r>
        <w:rPr>
          <w:b/>
          <w:sz w:val="19"/>
        </w:rPr>
        <w:t xml:space="preserve">Übertragbarkeit: </w:t>
      </w:r>
      <w:r>
        <w:rPr>
          <w:sz w:val="19"/>
        </w:rPr>
        <w:t>Auf Deutschland übertragbar: Erfolg hängt von Vollständigkeit der Post-Screening-Versorgungspfade ab, nicht von Modellperformance allein.</w:t>
      </w:r>
    </w:p>
    <w:p>
      <w:r>
        <w:rPr>
          <w:color w:val="5A7D3A"/>
          <w:sz w:val="18"/>
        </w:rPr>
        <w:t>https://pubmed.ncbi.nlm.nih.gov/42920040/</w:t>
      </w:r>
    </w:p>
    <w:p>
      <w:pPr>
        <w:pStyle w:val="Heading2"/>
      </w:pPr>
      <w:r>
        <w:t>Beacon Decision Support System in der Onkologie: Usability und Nutzerzufriedenheit</w:t>
      </w:r>
    </w:p>
    <w:p>
      <w:r>
        <w:rPr>
          <w:i/>
          <w:color w:val="666666"/>
          <w:sz w:val="18"/>
        </w:rPr>
        <w:t>Dahò M et al.  ·  BMC Health Serv Res  ·  27.07.2026  ·  PMID 42919333</w:t>
      </w:r>
    </w:p>
    <w:p>
      <w:r>
        <w:t>Mixed-Methods-Studie (10 Interviews, 45 Nutzer-Befragung) zur Bewertung eines EU-geförderten Decision Support Systems (Beacon DSS) für evidenzbasierte Onkologieinformation bei Patienten und Fachpersonen.</w:t>
      </w:r>
    </w:p>
    <w:p>
      <w:r>
        <w:rPr>
          <w:b/>
        </w:rPr>
        <w:t xml:space="preserve">Ergebnis: </w:t>
      </w:r>
      <w:r>
        <w:t>System Usability Scale (SUS) Durchschnittswert 60,3 (SD 9,6), akzeptable Usability. AttrakDiff-Skala: hohe pragmatische Qualität und Attraktivität, niedrigere hedonische Qualität. Patienten schätzten visuelle Klarheit, bemängelten aber App-Fehler. Fachpersonen lobten Glaubwürdigkeit, kritisierten Suchspezifizität und Datenabdeckung.</w:t>
      </w:r>
    </w:p>
    <w:p>
      <w:r>
        <w:rPr>
          <w:b/>
          <w:sz w:val="19"/>
        </w:rPr>
        <w:t xml:space="preserve">Übertragbarkeit: </w:t>
      </w:r>
      <w:r>
        <w:rPr>
          <w:sz w:val="19"/>
        </w:rPr>
        <w:t>EU-Kontext, vergleichbare Versicherungssysteme, Italien/Malta – Umsetzungshinweise für deutsche Kliniken.</w:t>
      </w:r>
    </w:p>
    <w:p>
      <w:r>
        <w:rPr>
          <w:color w:val="5A7D3A"/>
          <w:sz w:val="18"/>
        </w:rPr>
        <w:t>https://pubmed.ncbi.nlm.nih.gov/42919333/</w:t>
      </w:r>
    </w:p>
    <w:p>
      <w:pPr>
        <w:pStyle w:val="Heading2"/>
      </w:pPr>
      <w:r>
        <w:t>KI im Gesundheitswesen: Bewusstsein, Nachfrage und Zahlungsbereitschaft in Vietnam</w:t>
      </w:r>
    </w:p>
    <w:p>
      <w:r>
        <w:rPr>
          <w:i/>
          <w:color w:val="666666"/>
          <w:sz w:val="18"/>
        </w:rPr>
        <w:t>Thi TN et al.  ·  BMC Health Serv Res  ·  28.07.2026  ·  PMID 42919318</w:t>
      </w:r>
    </w:p>
    <w:p>
      <w:r>
        <w:t>Querschnittstudie (n=3.550) zu Awareness, Nachfrage und Zahlungsbereitschaft für KI-gestützte Gesundheitsdienste bei vietnamesischen Erwachsenen; Faktoren: Einkommen, Gesundheitskompetenz, eHealth-Kompetenz.</w:t>
      </w:r>
    </w:p>
    <w:p>
      <w:r>
        <w:rPr>
          <w:b/>
        </w:rPr>
        <w:t xml:space="preserve">Ergebnis: </w:t>
      </w:r>
      <w:r>
        <w:t>49,1% berichteten Awareness für KI im Gesundheitswesen, 58,6% bereit oder sehr bereit zur Nutzung. Bevorzugte Anwendungen: Notfallmedizinische Unterstützung (80,6%), Telemedizin (55,0%). Aber 65,6% unwilling to pay für KI-Mehrkosten; akzeptierte Zusatzkosten 10–19%. Höheres Einkommen, größerer Haushalt, bessere Gesundheitskompetenz korreliert mit höherer KI-Awareness.</w:t>
      </w:r>
    </w:p>
    <w:p>
      <w:r>
        <w:rPr>
          <w:b/>
          <w:sz w:val="19"/>
        </w:rPr>
        <w:t xml:space="preserve">Übertragbarkeit: </w:t>
      </w:r>
      <w:r>
        <w:rPr>
          <w:sz w:val="19"/>
        </w:rPr>
        <w:t>Entwicklungsland-Kontext, andere Ressourcenlage – nur Awareness-Befund für Deutschland relevant.</w:t>
      </w:r>
    </w:p>
    <w:p>
      <w:r>
        <w:rPr>
          <w:color w:val="5A7D3A"/>
          <w:sz w:val="18"/>
        </w:rPr>
        <w:t>https://pubmed.ncbi.nlm.nih.gov/42919318/</w:t>
      </w:r>
    </w:p>
    <w:p>
      <w:pPr>
        <w:pStyle w:val="Heading2"/>
      </w:pPr>
      <w:r>
        <w:t>KI-gestützte Koloskopie und Adenomerkennung: Metaanalyse von 46 RCTs</w:t>
      </w:r>
    </w:p>
    <w:p>
      <w:r>
        <w:rPr>
          <w:i/>
          <w:color w:val="666666"/>
          <w:sz w:val="18"/>
        </w:rPr>
        <w:t>Liu X et al.  ·  BMC Med Imaging  ·  28.07.2026  ·  PMID 42919249</w:t>
      </w:r>
    </w:p>
    <w:p>
      <w:r>
        <w:t>Metaanalyse von 46 randomisierten kontrollierten Studien (n=37.012) zu KI-gestützter versus konventioneller Koloskopie bezüglich Detektion kolorektaler Läsionen.</w:t>
      </w:r>
    </w:p>
    <w:p>
      <w:r>
        <w:rPr>
          <w:b/>
        </w:rPr>
        <w:t xml:space="preserve">Ergebnis: </w:t>
      </w:r>
      <w:r>
        <w:t>KI-gestützte Koloskopie erhöhte die Adenomadetektionsrate (ADR) um 22% (RR 1,22; 95%-CI 1,17–1,27), Polypdetektionsrate um 22% (RR 1,22; 95%-CI 1,16–1,29) und sessile Serratierte Läsionen um 20% (RR 1,20; 95%-CI 1,05–1,36) gegenüber konventioneller Koloskopie. Keine signifikanten Unterschiede bei fortgeschrittenen Adenomen.</w:t>
      </w:r>
    </w:p>
    <w:p>
      <w:r>
        <w:rPr>
          <w:b/>
          <w:sz w:val="19"/>
        </w:rPr>
        <w:t xml:space="preserve">Übertragbarkeit: </w:t>
      </w:r>
      <w:r>
        <w:rPr>
          <w:sz w:val="19"/>
        </w:rPr>
        <w:t>Randomisierte Studiengebnisse direkt auf deutsche Screening-Koloskopien übertragbar.</w:t>
      </w:r>
    </w:p>
    <w:p>
      <w:r>
        <w:rPr>
          <w:color w:val="5A7D3A"/>
          <w:sz w:val="18"/>
        </w:rPr>
        <w:t>https://pubmed.ncbi.nlm.nih.gov/42919249/</w:t>
      </w:r>
    </w:p>
    <w:p>
      <w:pPr>
        <w:pStyle w:val="Heading2"/>
      </w:pPr>
      <w:r>
        <w:t>Kalibrierung von Machine Learning-Vorhersagemodellen ohne Validierungsdaten: vier Verfahren im Vergleich</w:t>
      </w:r>
    </w:p>
    <w:p>
      <w:r>
        <w:rPr>
          <w:i/>
          <w:color w:val="666666"/>
          <w:sz w:val="18"/>
        </w:rPr>
        <w:t>Carluccio ED et al.  ·  Stat Med  ·  Okt. 2026  ·  PMID 42894315</w:t>
      </w:r>
    </w:p>
    <w:p>
      <w:r>
        <w:t>Methodische Studie an Deutschlands Daten (Schlaganfall-Funktionsvorhersage, koronare Herzerkrankung) zu Kalibrierungsmethoden für ML-Modelle, wenn keine Zieldatensätze zur Neukalibrierung verfügbar sind.</w:t>
      </w:r>
    </w:p>
    <w:p>
      <w:r>
        <w:rPr>
          <w:b/>
        </w:rPr>
        <w:t xml:space="preserve">Ergebnis: </w:t>
      </w:r>
      <w:r>
        <w:t>Fünf Verfahren getestet (SimCal, Similarity-Binning Averaging, Adaptive Calibration, Elkan, Expert Judgment Modeling). SimCal funktionierte gut bei korrekter Modellspezifikation. Keines der Verfahren überzeugte konsistent in allen Situationen. Expert Judgment Modeling scheiterte auf Schlaganfall-Daten.</w:t>
      </w:r>
    </w:p>
    <w:p>
      <w:r>
        <w:rPr>
          <w:b/>
          <w:sz w:val="19"/>
        </w:rPr>
        <w:t xml:space="preserve">Übertragbarkeit: </w:t>
      </w:r>
      <w:r>
        <w:rPr>
          <w:sz w:val="19"/>
        </w:rPr>
        <w:t>Deutsche Versorgungsdaten (Hamburg, Essen): zentral für Kalibrierungsproblem bei Modellübertragung zwischen Zentren und Populationen.</w:t>
      </w:r>
    </w:p>
    <w:p>
      <w:r>
        <w:rPr>
          <w:color w:val="5A7D3A"/>
          <w:sz w:val="18"/>
        </w:rPr>
        <w:t>https://pubmed.ncbi.nlm.nih.gov/42894315/</w:t>
      </w:r>
    </w:p>
    <w:p>
      <w:pPr>
        <w:pStyle w:val="Heading1"/>
      </w:pPr>
      <w:r>
        <w:t>Aufgenommen am 24.10.2026</w:t>
      </w:r>
    </w:p>
    <w:p>
      <w:pPr>
        <w:pStyle w:val="Heading2"/>
      </w:pPr>
      <w:r>
        <w:t>Machine-Learning-Modell zur Vorhersage von 30-Tage-Wiederaufnahmen nach Nierentransplantation</w:t>
      </w:r>
    </w:p>
    <w:p>
      <w:r>
        <w:rPr>
          <w:i/>
          <w:color w:val="666666"/>
          <w:sz w:val="18"/>
        </w:rPr>
        <w:t>Pinto-Ramírez J et al.  ·  BMC Med Inform Decis Mak  ·  28.07.2026  ·  PMID 42919237</w:t>
      </w:r>
    </w:p>
    <w:p>
      <w:r>
        <w:t>Retrospektive Kohortenstudie (2.110 Erwachsene, 2008–2023) zur Entwicklung eines ML-Modells (Random Forest, XGBoost) für 30-Tage-Wiederaufnahmen mit Validierung und web-basiertem Risikokalkulator für Klinikteams.</w:t>
      </w:r>
    </w:p>
    <w:p>
      <w:r>
        <w:rPr>
          <w:b/>
        </w:rPr>
        <w:t xml:space="preserve">Ergebnis: </w:t>
      </w:r>
      <w:r>
        <w:t>Wiederaufnahmerate 14,5 %. XGBoost erzielte höchste Diskriminierung (AUC 0,750, 95%-KI 0,722–0,778). Random Forest (AUC 0,744) und logistische Regression (AUC 0,747) vergleichbar. Wichtigste Prädiktoren: Aufenthaltsdauer, Dialysedauer, GFR Tag 7, Empfängeralter, chirurgische Reintervention. Web-basierter Kalkulator verfügbar; externe Validierung ausstehend.</w:t>
      </w:r>
    </w:p>
    <w:p>
      <w:r>
        <w:rPr>
          <w:b/>
          <w:sz w:val="19"/>
        </w:rPr>
        <w:t xml:space="preserve">Übertragbarkeit: </w:t>
      </w:r>
      <w:r>
        <w:rPr>
          <w:sz w:val="19"/>
        </w:rPr>
        <w:t>Kolumbien, aber Methodik und Prognoseansatz direkt auf deutsche Transplantationszentren übertragbar.</w:t>
      </w:r>
    </w:p>
    <w:p>
      <w:r>
        <w:rPr>
          <w:color w:val="5A7D3A"/>
          <w:sz w:val="18"/>
        </w:rPr>
        <w:t>https://pubmed.ncbi.nlm.nih.gov/42919237/</w:t>
      </w:r>
    </w:p>
    <w:p>
      <w:pPr>
        <w:pStyle w:val="Heading2"/>
      </w:pPr>
      <w:r>
        <w:t>ML-Modell aus quantitativer MRT und klinischen Variablen sagt Gehfähigkeitsverlust bei DMD voraus</w:t>
      </w:r>
    </w:p>
    <w:p>
      <w:r>
        <w:rPr>
          <w:i/>
          <w:color w:val="666666"/>
          <w:sz w:val="18"/>
        </w:rPr>
        <w:t>Liu C et al.  ·  J Cachexia Sarcopenia Muscle  ·  Okt. 2026  ·  PMID 42913715</w:t>
      </w:r>
    </w:p>
    <w:p>
      <w:r>
        <w:t>Prospektive Studie (188 DMD-Jungen, 43,5 Monate Follow-up) zur Entwicklung eines Random-Survival-Forest-Modells mit Fettinfiltrations-MRT-Parametern und klinischen Variablen zur individualisierten Risikovorhersage für Gehfähigkeitsverlust.</w:t>
      </w:r>
    </w:p>
    <w:p>
      <w:r>
        <w:rPr>
          <w:b/>
        </w:rPr>
        <w:t xml:space="preserve">Ergebnis: </w:t>
      </w:r>
      <w:r>
        <w:t>66 Patienten (35,1 %) erlebten Gehfähigkeitsverlust. RSF-Modell mit 6 Prädiktoren (NSAA-Score, MRC%, Alter, 3 Fettinfiltrationswerte): C-Index 0,870 (95%-KI 0,764–0,957), überlegen gegenüber klinischem Cox (0,804) und Ridge-Cox (0,853). Zeit-abhängige AUCs 0,984/0,971/0,913/0,850 bei 12/24/36/48 Monaten. Risikogruppen-Stratifikation mit log-rank p = 0,0025. Web-Tool verfügbar.</w:t>
      </w:r>
    </w:p>
    <w:p>
      <w:r>
        <w:rPr>
          <w:b/>
          <w:sz w:val="19"/>
        </w:rPr>
        <w:t xml:space="preserve">Übertragbarkeit: </w:t>
      </w:r>
      <w:r>
        <w:rPr>
          <w:sz w:val="19"/>
        </w:rPr>
        <w:t>China, aber Methodik mit quantitativer MRT und genetischen Markern auf europäische DMD-Zentren mit ähnlicher Ausstattung übertragbar.</w:t>
      </w:r>
    </w:p>
    <w:p>
      <w:r>
        <w:rPr>
          <w:color w:val="5A7D3A"/>
          <w:sz w:val="18"/>
        </w:rPr>
        <w:t>https://pubmed.ncbi.nlm.nih.gov/42913715/</w:t>
      </w:r>
    </w:p>
    <w:p>
      <w:pPr>
        <w:pStyle w:val="Heading2"/>
      </w:pPr>
      <w:r>
        <w:t>Ethik der Telerehabilitation in der Krebsnachsorge: Versorgungsgerechtigkeit und Verantwortung</w:t>
      </w:r>
    </w:p>
    <w:p>
      <w:r>
        <w:rPr>
          <w:i/>
          <w:color w:val="666666"/>
          <w:sz w:val="18"/>
        </w:rPr>
        <w:t>Lorenz MC et al.  ·  J Med Internet Res  ·  22.10.2026  ·  PMID 42912965</w:t>
      </w:r>
    </w:p>
    <w:p>
      <w:r>
        <w:t>Qualitative Analyse von Leitlinien und Fachliteratur zur Telerehabilitation nach Krebsbehandlung, mit Fokus auf Verantwortung in drei Bereichen: interpersonale Versorgungsqualität, rechtliche Rahmenbedingungen und Positionierung im Gesundheitssystem.</w:t>
      </w:r>
    </w:p>
    <w:p>
      <w:r>
        <w:rPr>
          <w:b/>
        </w:rPr>
        <w:t xml:space="preserve">Ergebnis: </w:t>
      </w:r>
      <w:r>
        <w:t>Die Autoren identifizierten, dass ethische Diskussionen zu Telerehabilitation sich überwiegend auf Sicherheit, Datenschutz und Compliance konzentrieren, während Zwecksetzung, Gerechtigkeit und Patientenperspektiven unterrepräsentiert sind. Nutzen und Lasten hängen von Alter, digitaler Kompetenz, Konnektivität, Betreuungsverfügbarkeit und Behinderungen ab – Gerechtigkeitsansprüche gelten daher nicht universell.</w:t>
      </w:r>
    </w:p>
    <w:p>
      <w:r>
        <w:rPr>
          <w:b/>
          <w:sz w:val="19"/>
        </w:rPr>
        <w:t xml:space="preserve">Übertragbarkeit: </w:t>
      </w:r>
      <w:r>
        <w:rPr>
          <w:sz w:val="19"/>
        </w:rPr>
        <w:t>Europäische Studie, deutsche Beteiligung; direkt übertragbar auf deutsches Gesundheitssystem und seine Versorgungsverpflichtung.</w:t>
      </w:r>
    </w:p>
    <w:p>
      <w:r>
        <w:rPr>
          <w:color w:val="5A7D3A"/>
          <w:sz w:val="18"/>
        </w:rPr>
        <w:t>https://pubmed.ncbi.nlm.nih.gov/42912965/</w:t>
      </w:r>
    </w:p>
    <w:p>
      <w:pPr>
        <w:pStyle w:val="Heading2"/>
      </w:pPr>
      <w:r>
        <w:t>KI-gestützte Echtzeit-Klassifikation von Kolonialpolypen: europäisch-japanische Multicenterstudie</w:t>
      </w:r>
    </w:p>
    <w:p>
      <w:r>
        <w:rPr>
          <w:i/>
          <w:color w:val="666666"/>
          <w:sz w:val="18"/>
        </w:rPr>
        <w:t>Olabintan O et al.  ·  JMIR Res Protoc  ·  21.10.2026  ·  PMID 42905971</w:t>
      </w:r>
    </w:p>
    <w:p>
      <w:r>
        <w:t>Protokoll für prospektive Multicenterstudie mit über 17.000 Bildern aus 9 Zentren (8 europäisch, 1 japanisch) zur Entwicklung eines multiklassifizierten AI-Systems (Nichtneoplasie, niedrig-/hochgradige Adenome, sessile Polypen, invasives Karzinom) zur Verbesserung der optischen Diagnostik während Koloskopie.</w:t>
      </w:r>
    </w:p>
    <w:p>
      <w:r>
        <w:rPr>
          <w:b/>
        </w:rPr>
        <w:t xml:space="preserve">Ergebnis: </w:t>
      </w:r>
      <w:r>
        <w:t>Studienprotokoll; Zieldefinition: 85 % Genauigkeit der AI-Klassifikation. Einsatz von SimCLR-basiertem halbüberwachtem Lernen mit Grad-CAM für Interpretierbarkeit. Datenmanagement über REDCap mit Deidentifikation geplant. Ziel ist klinisch anwendbares, multimodales System jenseits binärer Klassifizierung.</w:t>
      </w:r>
    </w:p>
    <w:p>
      <w:r>
        <w:rPr>
          <w:b/>
          <w:sz w:val="19"/>
        </w:rPr>
        <w:t xml:space="preserve">Übertragbarkeit: </w:t>
      </w:r>
      <w:r>
        <w:rPr>
          <w:sz w:val="19"/>
        </w:rPr>
        <w:t>Hauptsächlich europäische Zentren (UK, Spanien, Norwegen, Deutschland, Italien, Dänemark); deutsches Zentrum beteiligt; direkt relevant für deutsche Klinikpraxis.</w:t>
      </w:r>
    </w:p>
    <w:p>
      <w:r>
        <w:rPr>
          <w:color w:val="5A7D3A"/>
          <w:sz w:val="18"/>
        </w:rPr>
        <w:t>https://pubmed.ncbi.nlm.nih.gov/42905971/</w:t>
      </w:r>
    </w:p>
    <w:p>
      <w:pPr>
        <w:pStyle w:val="Heading2"/>
      </w:pPr>
      <w:r>
        <w:t>LLM-Zugang erhöht Gesundheitskompetenz, nicht rational begründete Arzneimittelnutzung: Querschnittsstudie</w:t>
      </w:r>
    </w:p>
    <w:p>
      <w:r>
        <w:rPr>
          <w:i/>
          <w:color w:val="666666"/>
          <w:sz w:val="18"/>
        </w:rPr>
        <w:t>Raif K et al.  ·  Front Public Health  ·  06.10.2026  ·  PMID 42903289</w:t>
      </w:r>
    </w:p>
    <w:p>
      <w:r>
        <w:t>Strukturgleichungsmodellierung bei 445 Erwachsenen zur Untersuchung, wie KI-Einstellung und individuelle Innovativität über Gesundheitskompetenz auf rationale Arzneimittelnutzung wirken – Fokus auf Unterscheidung zwischen Informationszugang und klinischer Disziplin.</w:t>
      </w:r>
    </w:p>
    <w:p>
      <w:r>
        <w:rPr>
          <w:b/>
        </w:rPr>
        <w:t xml:space="preserve">Ergebnis: </w:t>
      </w:r>
      <w:r>
        <w:t>Individuelle Innovativität zeigte signifikanten positiven Effekt auf Gesundheitskompetenz (direkt) und rationale Arzneimittelnutzung (vermittelt über Gesundheitskompetenz). Positive KI-Einstellung verbesserte Gesundheitskompetenz signifikant, führte aber nicht zu verbesserter Arzneimittelnutzung. Modellfit: χ²/df = 2,45, CFI = 0,935, RMSEA = 0,062. Kernbefund: algorithmische Anleitung kann ärztliche Überwachung nicht ersetzen.</w:t>
      </w:r>
    </w:p>
    <w:p>
      <w:r>
        <w:rPr>
          <w:b/>
          <w:sz w:val="19"/>
        </w:rPr>
        <w:t xml:space="preserve">Übertragbarkeit: </w:t>
      </w:r>
      <w:r>
        <w:rPr>
          <w:sz w:val="19"/>
        </w:rPr>
        <w:t>Zypern, kleinere Stichprobe, aber methoden- und sicherheitsbefunde übertragbar; zeigt Risiken bei unkritischer LLM-Nutzung.</w:t>
      </w:r>
    </w:p>
    <w:p>
      <w:r>
        <w:rPr>
          <w:color w:val="5A7D3A"/>
          <w:sz w:val="18"/>
        </w:rPr>
        <w:t>https://pubmed.ncbi.nlm.nih.gov/42903289/</w:t>
      </w:r>
    </w:p>
    <w:p>
      <w:pPr>
        <w:pStyle w:val="Heading2"/>
      </w:pPr>
      <w:r>
        <w:t>Kontaktlose Radar-basierte Schlafstadien-Klassifikation: Validierungsstudie an 1.022 Probanden</w:t>
      </w:r>
    </w:p>
    <w:p>
      <w:r>
        <w:rPr>
          <w:i/>
          <w:color w:val="666666"/>
          <w:sz w:val="18"/>
        </w:rPr>
        <w:t>Diao Z et al.  ·  Physiol Meas  ·  20.10.2026  ·  PMID 42838096</w:t>
      </w:r>
    </w:p>
    <w:p>
      <w:r>
        <w:t>Prospektive Validierungsstudie eines 60-GHz-Radarsystems (Sleepal AI Lamp) zur berührungslosen Schlafklassifikation im Vergleich zu Polysomnographie bei 1.022 Probanden mit normalen und pathologischen Schlafprofilen (Schlafapnoe aller Schweregrade).</w:t>
      </w:r>
    </w:p>
    <w:p>
      <w:r>
        <w:rPr>
          <w:b/>
        </w:rPr>
        <w:t xml:space="preserve">Ergebnis: </w:t>
      </w:r>
      <w:r>
        <w:t>Binäre Schlaf-Wach-Klassifikation: 92,7 % Genauigkeit, Cohen's Kappa 0,792, Sensitivität 96,4 %, Spezifität 80,8 %, F1-Score 0,896. Vierstufige Klassifikation (Wach, Light, Deep, REM): 77,2 % Genauigkeit, Kappa 0,677, F1-Score 0,768, ausgeglichene Genauigkeit 77,4 %. Stadienspezifische F1-Scores: Wach 0,839, Light 0,740, Deep 0,691, REM 0,802.</w:t>
      </w:r>
    </w:p>
    <w:p>
      <w:r>
        <w:rPr>
          <w:b/>
          <w:sz w:val="19"/>
        </w:rPr>
        <w:t xml:space="preserve">Übertragbarkeit: </w:t>
      </w:r>
      <w:r>
        <w:rPr>
          <w:sz w:val="19"/>
        </w:rPr>
        <w:t>Deutschsprachiger Raum möglich, Technologie nicht an proprietäre Systeme gebunden; geeignet für Home-Screening und Langzeit-Überwachung ohne Geräteanschaffung.</w:t>
      </w:r>
    </w:p>
    <w:p>
      <w:r>
        <w:rPr>
          <w:color w:val="5A7D3A"/>
          <w:sz w:val="18"/>
        </w:rPr>
        <w:t>https://pubmed.ncbi.nlm.nih.gov/42838096/</w:t>
      </w:r>
    </w:p>
    <w:p>
      <w:pPr>
        <w:pStyle w:val="Heading1"/>
      </w:pPr>
      <w:r>
        <w:t>Aufgenommen am 23.10.2026</w:t>
      </w:r>
    </w:p>
    <w:p>
      <w:pPr>
        <w:pStyle w:val="Heading2"/>
      </w:pPr>
      <w:r>
        <w:t>Machine Learning zur Vorhersage von Krankenhaussterblichkeit bei diabetischer Sepsis</w:t>
      </w:r>
    </w:p>
    <w:p>
      <w:r>
        <w:rPr>
          <w:i/>
          <w:color w:val="666666"/>
          <w:sz w:val="18"/>
        </w:rPr>
        <w:t>Shen Z et al.  ·  BMC Med Inform Decis Mak  ·  22.10.2026  ·  PMID 42907983</w:t>
      </w:r>
    </w:p>
    <w:p>
      <w:r>
        <w:t>Retrospektive Kohortenstudie mit 7716 Patienten aus MIMIC-IV-Datenbank zum Vergleich von sechs Machine-Learning-Algorithmen für Mortalitätsprognose bei septischen Diabetespatienten auf Intensivstationen.</w:t>
      </w:r>
    </w:p>
    <w:p>
      <w:r>
        <w:rPr>
          <w:b/>
        </w:rPr>
        <w:t xml:space="preserve">Ergebnis: </w:t>
      </w:r>
      <w:r>
        <w:t>Gradient Boosting Decision Tree erreichte beste Vorhersagegüte (AUC 0,792) und übertraf konventionellen SOFA-Score. SHAP-Analyse zeigte klinische Feature-Hierarchie. Modellinterpretierbarkeit ermöglichte potenzielle Adoption in der Klinik.</w:t>
      </w:r>
    </w:p>
    <w:p>
      <w:r>
        <w:rPr>
          <w:b/>
          <w:sz w:val="19"/>
        </w:rPr>
        <w:t xml:space="preserve">Übertragbarkeit: </w:t>
      </w:r>
      <w:r>
        <w:rPr>
          <w:sz w:val="19"/>
        </w:rPr>
        <w:t>USA-Daten, aber Methodik und Sepsis-Management sind übertragbar</w:t>
      </w:r>
    </w:p>
    <w:p>
      <w:r>
        <w:rPr>
          <w:color w:val="5A7D3A"/>
          <w:sz w:val="18"/>
        </w:rPr>
        <w:t>https://pubmed.ncbi.nlm.nih.gov/42907983/</w:t>
      </w:r>
    </w:p>
    <w:p>
      <w:pPr>
        <w:pStyle w:val="Heading2"/>
      </w:pPr>
      <w:r>
        <w:t>LLM-Zuverlässigkeit beim Feedback zu ärztlichen Zusammenfassungen in Virtual-Patient-Systemen</w:t>
      </w:r>
    </w:p>
    <w:p>
      <w:r>
        <w:rPr>
          <w:i/>
          <w:color w:val="666666"/>
          <w:sz w:val="18"/>
        </w:rPr>
        <w:t>Stadler P et al.  ·  JMIR Med Educ  ·  21.10.2026  ·  PMID 42906147</w:t>
      </w:r>
    </w:p>
    <w:p>
      <w:r>
        <w:t>Experimentelle Studie mit 122 bewerteten Fallzusammenfassungen (Englisch/Deutsch) aus 6 Virtual-Patient-Fällen zum Test von vier LLMs (Claude, GPT-4o, Mistral Large/7B) bei rubrik-gestütztem Scoring mit verschiedenen Prompting-Strategien.</w:t>
      </w:r>
    </w:p>
    <w:p>
      <w:r>
        <w:rPr>
          <w:b/>
        </w:rPr>
        <w:t xml:space="preserve">Ergebnis: </w:t>
      </w:r>
      <w:r>
        <w:t>Große geschlossene Modelle (Claude, GPT-4o, Mistral Large) zeigten hohe Test-Retest-Zuverlässigkeit (ICC≥0,92). Claude war praktisch deterministisch (ICC/Fleiss κ≥0,99). Few-shot+CoT-Prompting erzielte beste Konkordanz mit Experten: Mistral Large 77 % Genauigkeit, Gwet AC1 0,85. LLMs können skalierbare formale Feedback geben, sollten aber Expertenurteil ergänzen, nicht ersetzen.</w:t>
      </w:r>
    </w:p>
    <w:p>
      <w:r>
        <w:rPr>
          <w:b/>
          <w:sz w:val="19"/>
        </w:rPr>
        <w:t xml:space="preserve">Übertragbarkeit: </w:t>
      </w:r>
      <w:r>
        <w:rPr>
          <w:sz w:val="19"/>
        </w:rPr>
        <w:t>Deutsche Fallstudien, europäische Kliniken, Lehrkontext</w:t>
      </w:r>
    </w:p>
    <w:p>
      <w:r>
        <w:rPr>
          <w:color w:val="5A7D3A"/>
          <w:sz w:val="18"/>
        </w:rPr>
        <w:t>https://pubmed.ncbi.nlm.nih.gov/42906147/</w:t>
      </w:r>
    </w:p>
    <w:p>
      <w:pPr>
        <w:pStyle w:val="Heading2"/>
      </w:pPr>
      <w:r>
        <w:t>KI-gestützte Delir-Risikovorhersage versus 4AT-Score in der Traumatologie</w:t>
      </w:r>
    </w:p>
    <w:p>
      <w:r>
        <w:rPr>
          <w:i/>
          <w:color w:val="666666"/>
          <w:sz w:val="18"/>
        </w:rPr>
        <w:t>Franceschini K et al.  ·  JMIR Form Res  ·  21.10.2026  ·  PMID 42906075</w:t>
      </w:r>
    </w:p>
    <w:p>
      <w:r>
        <w:t>Prospektive Kohortenstudie an 2002 Patienten einer Traumastation, die KI-basierte Delir-Vorhersage mit dem etablierten 4AT-Screening-Tool verglichen hat.</w:t>
      </w:r>
    </w:p>
    <w:p>
      <w:r>
        <w:rPr>
          <w:b/>
        </w:rPr>
        <w:t xml:space="preserve">Ergebnis: </w:t>
      </w:r>
      <w:r>
        <w:t>Die KI-basierte Methode erkannte 87,3 % der Patienten mit späterem Delir korrekt als Risikopatienten (vs. 28,0 % für 4AT), bei allerdings niedrigerer Spezifität (73,9 % vs. 96,3 %). AUC 0,884. Das Tool ermöglicht proaktive Risikovorhersage bereits bei Aufnahme ohne administrativen Mehraufwand.</w:t>
      </w:r>
    </w:p>
    <w:p>
      <w:r>
        <w:rPr>
          <w:b/>
          <w:sz w:val="19"/>
        </w:rPr>
        <w:t xml:space="preserve">Übertragbarkeit: </w:t>
      </w:r>
      <w:r>
        <w:rPr>
          <w:sz w:val="19"/>
        </w:rPr>
        <w:t>Österreich, klinische Daten elektronischer Krankenakten, direkter Versorgungsnutzen</w:t>
      </w:r>
    </w:p>
    <w:p>
      <w:r>
        <w:rPr>
          <w:color w:val="5A7D3A"/>
          <w:sz w:val="18"/>
        </w:rPr>
        <w:t>https://pubmed.ncbi.nlm.nih.gov/42906075/</w:t>
      </w:r>
    </w:p>
    <w:p>
      <w:pPr>
        <w:pStyle w:val="Heading2"/>
      </w:pPr>
      <w:r>
        <w:t>Psychosoziale Faktoren in der Telecare-Akzeptanz durch Pflegepersonen im Alter</w:t>
      </w:r>
    </w:p>
    <w:p>
      <w:r>
        <w:rPr>
          <w:i/>
          <w:color w:val="666666"/>
          <w:sz w:val="18"/>
        </w:rPr>
        <w:t>Dolničar V et al.  ·  JMIR Aging  ·  20.10.2026  ·  PMID 42904387</w:t>
      </w:r>
    </w:p>
    <w:p>
      <w:r>
        <w:t>Querschnittsstudie mit 526 Pflegepersonen in Slowenien zu Faktoren der Telecare-Nutzungsabsicht, unter Erweiterung des UTAUT-Modells um psychosoziale Outcomes (Sicherheitsgefühl, Beruhigung, Verbundenheit).</w:t>
      </w:r>
    </w:p>
    <w:p>
      <w:r>
        <w:rPr>
          <w:b/>
        </w:rPr>
        <w:t xml:space="preserve">Ergebnis: </w:t>
      </w:r>
      <w:r>
        <w:t>Psychosoziale Outcomes zeigten stärkste Assoziation mit Nutzungsabsicht (β=0,41, p&lt;0,001). Leistungserwartung (β=0,52), förderliche Bedingungen (β=0,11) und sozialer Einfluss (β=0,21) signifikant. Modell erklärte 54 % der Varianz. Psychosoziale Faktoren sind kritischer als bloße Funktionalität.</w:t>
      </w:r>
    </w:p>
    <w:p>
      <w:r>
        <w:rPr>
          <w:b/>
          <w:sz w:val="19"/>
        </w:rPr>
        <w:t xml:space="preserve">Übertragbarkeit: </w:t>
      </w:r>
      <w:r>
        <w:rPr>
          <w:sz w:val="19"/>
        </w:rPr>
        <w:t>Slowenien, europäischer Kontext, aber Prätest-Absicht, nicht tatsächliche Nutzung</w:t>
      </w:r>
    </w:p>
    <w:p>
      <w:r>
        <w:rPr>
          <w:color w:val="5A7D3A"/>
          <w:sz w:val="18"/>
        </w:rPr>
        <w:t>https://pubmed.ncbi.nlm.nih.gov/42904387/</w:t>
      </w:r>
    </w:p>
    <w:p>
      <w:pPr>
        <w:pStyle w:val="Heading2"/>
      </w:pPr>
      <w:r>
        <w:t>Ärztebewertung von Datenqualität in neuem länderübergreifendem EHR-System</w:t>
      </w:r>
    </w:p>
    <w:p>
      <w:r>
        <w:rPr>
          <w:i/>
          <w:color w:val="666666"/>
          <w:sz w:val="18"/>
        </w:rPr>
        <w:t>Golburean O et al.  ·  JMIR Form Res  ·  20.10.2026  ·  PMID 42902907</w:t>
      </w:r>
    </w:p>
    <w:p>
      <w:r>
        <w:t>Mixed-Methods-Studie mit Befragung und Interviews von Klinikärzten nach Einführung eines neuen institutionsübergreifenden EHR-Systems in Norwegen (2023–2024).</w:t>
      </w:r>
    </w:p>
    <w:p>
      <w:r>
        <w:rPr>
          <w:b/>
        </w:rPr>
        <w:t xml:space="preserve">Ergebnis: </w:t>
      </w:r>
      <w:r>
        <w:t>Mehrheit der Ärzte kritisierte Datenorganisation und Überfülle an Informationen; Verbesserungen in Datenzugriff anerkannt. Zeitverlauf-Funktion zur Patientenüberwachung und Chat-Funktion für Kollegenkommunikation als nutzbringend bewertet. Patientenportal verbesserte Kommunikation, aber Nutzbarkeit erfordert umfangreiche Schulung.</w:t>
      </w:r>
    </w:p>
    <w:p>
      <w:r>
        <w:rPr>
          <w:b/>
          <w:sz w:val="19"/>
        </w:rPr>
        <w:t xml:space="preserve">Übertragbarkeit: </w:t>
      </w:r>
      <w:r>
        <w:rPr>
          <w:sz w:val="19"/>
        </w:rPr>
        <w:t>Norwegen, vergleichbare EHR-Infrastruktur und Datenschutzstandards</w:t>
      </w:r>
    </w:p>
    <w:p>
      <w:r>
        <w:rPr>
          <w:color w:val="5A7D3A"/>
          <w:sz w:val="18"/>
        </w:rPr>
        <w:t>https://pubmed.ncbi.nlm.nih.gov/42902907/</w:t>
      </w:r>
    </w:p>
    <w:p>
      <w:pPr>
        <w:pStyle w:val="Heading2"/>
      </w:pPr>
      <w:r>
        <w:t>LLM-gestützte Harmonisierung widersprüchlicher Leitlinien für Delphi-Konsensfindung</w:t>
      </w:r>
    </w:p>
    <w:p>
      <w:r>
        <w:rPr>
          <w:i/>
          <w:color w:val="666666"/>
          <w:sz w:val="18"/>
        </w:rPr>
        <w:t>Haas M et al.  ·  J Med Internet Res  ·  20.10.2026  ·  PMID 42902842</w:t>
      </w:r>
    </w:p>
    <w:p>
      <w:r>
        <w:t>Methodische Studie zur Entwicklung eines reproduzierbaren Workflows für LLM-gestützte Analyse konkurrierender klinischer Leitlinien und Identifikation von Evidenzlücken, am Beispiel Peniskarzinom durchgeführt.</w:t>
      </w:r>
    </w:p>
    <w:p>
      <w:r>
        <w:rPr>
          <w:b/>
        </w:rPr>
        <w:t xml:space="preserve">Ergebnis: </w:t>
      </w:r>
      <w:r>
        <w:t>Workflow extrahierte 157 Empfehlungen aus 5 Leitlinien und verdichtete diese zu 68 harmonisierten Kandidaten-Items; 15 Konsens-Items, 53 divergente/ambivalente Items, 9 echte Lücken identifiziert. Dreifach-Ensemble-Konsistenzprüfung mit Expertenvalidierung: 62 finale Delphi-ready Items.</w:t>
      </w:r>
    </w:p>
    <w:p>
      <w:r>
        <w:rPr>
          <w:b/>
          <w:sz w:val="19"/>
        </w:rPr>
        <w:t xml:space="preserve">Übertragbarkeit: </w:t>
      </w:r>
      <w:r>
        <w:rPr>
          <w:sz w:val="19"/>
        </w:rPr>
        <w:t>Deutschland/Europa, Standard-Leitlinienmethodik und Konsensverfahren</w:t>
      </w:r>
    </w:p>
    <w:p>
      <w:r>
        <w:rPr>
          <w:color w:val="5A7D3A"/>
          <w:sz w:val="18"/>
        </w:rPr>
        <w:t>https://pubmed.ncbi.nlm.nih.gov/42902842/</w:t>
      </w:r>
    </w:p>
    <w:p>
      <w:pPr>
        <w:pStyle w:val="Heading1"/>
      </w:pPr>
      <w:r>
        <w:t>Aufgenommen am 22.10.2026</w:t>
      </w:r>
    </w:p>
    <w:p>
      <w:pPr>
        <w:pStyle w:val="Heading2"/>
      </w:pPr>
      <w:r>
        <w:t>KI-gestützte Entscheidungsunterstützung bei Brustschmerz reduziert Tests, Betten und Strahlenexposition</w:t>
      </w:r>
    </w:p>
    <w:p>
      <w:r>
        <w:rPr>
          <w:i/>
          <w:color w:val="666666"/>
          <w:sz w:val="18"/>
        </w:rPr>
        <w:t>Baugh CW et al.  ·  West J Emerg Med  ·  28.07.2026  ·  PMID 42900908</w:t>
      </w:r>
    </w:p>
    <w:p>
      <w:r>
        <w:t>Monte-Carlo-Simulation mit 1.000 Iterationen zur Schätzung des nationalen Potenzials eines AI-CDSS zur Vermeidung überflüssiger Herzdiagnostik bei ED-Patienten mit Brustschmerz basierend auf EKG, Troponin und klinischen Daten.</w:t>
      </w:r>
    </w:p>
    <w:p>
      <w:r>
        <w:rPr>
          <w:b/>
        </w:rPr>
        <w:t xml:space="preserve">Ergebnis: </w:t>
      </w:r>
      <w:r>
        <w:t>Bei universeller Adoption: geschätzte jährliche Kosteneinsparungen 675 Millionen US$ (SD 340 Mio.) durch Vermeidung von 688.000 (SD 147.000) Tests, 537.000 (SD 115.000) vermiedene Kurzaufenthalte, 8,3 Millionen Bettstunden eingespart, 490 Krebsfälle und 250 Todesfälle durch reduzierte Strahlung vermieden.</w:t>
      </w:r>
    </w:p>
    <w:p>
      <w:r>
        <w:rPr>
          <w:b/>
          <w:sz w:val="19"/>
        </w:rPr>
        <w:t xml:space="preserve">Übertragbarkeit: </w:t>
      </w:r>
      <w:r>
        <w:rPr>
          <w:sz w:val="19"/>
        </w:rPr>
        <w:t>Simulationsergebnis basiert auf europäischer Validierungskohorte; Kosteneinsparungslogik systemübergreifend relevant</w:t>
      </w:r>
    </w:p>
    <w:p>
      <w:r>
        <w:rPr>
          <w:color w:val="5A7D3A"/>
          <w:sz w:val="18"/>
        </w:rPr>
        <w:t>https://pubmed.ncbi.nlm.nih.gov/42900908/</w:t>
      </w:r>
    </w:p>
    <w:p>
      <w:pPr>
        <w:pStyle w:val="Heading2"/>
      </w:pPr>
      <w:r>
        <w:t>Digitale Entscheidungsunterstützung für Arzneimittelbewertung: belgisches Multi-Kriterien-Modell</w:t>
      </w:r>
    </w:p>
    <w:p>
      <w:r>
        <w:rPr>
          <w:i/>
          <w:color w:val="666666"/>
          <w:sz w:val="18"/>
        </w:rPr>
        <w:t>Blonda A et al.  ·  Int J Technol Assess Health Care  ·  19.10.2026  ·  PMID 42894980</w:t>
      </w:r>
    </w:p>
    <w:p>
      <w:r>
        <w:t>Entwicklung und Pilotierung eines Machine-Learning-gestützten Multi-Criteria Decision Analysis (MCDA)-Rahmens in Belgien zur transparenteren Reimbursement-Entscheidung bei Orphan Drugs mit expliziter Gewichtung von Kriterien.</w:t>
      </w:r>
    </w:p>
    <w:p>
      <w:r>
        <w:rPr>
          <w:b/>
        </w:rPr>
        <w:t xml:space="preserve">Ergebnis: </w:t>
      </w:r>
      <w:r>
        <w:t>Sieben quantitative und drei qualitative Kriterien wurden durch Delphi-Prozess gewichtet; vier Orphan Drugs wurden bewertet und zeigten unterschiedliche MCDA-Scores (0,39–0,77), wobei unmet medical need das höchste Gewicht erhielt.</w:t>
      </w:r>
    </w:p>
    <w:p>
      <w:r>
        <w:rPr>
          <w:b/>
          <w:sz w:val="19"/>
        </w:rPr>
        <w:t xml:space="preserve">Übertragbarkeit: </w:t>
      </w:r>
      <w:r>
        <w:rPr>
          <w:sz w:val="19"/>
        </w:rPr>
        <w:t>Belgisches System, vergleichbar mit deutschem HTA-Ansatz und Nutzenbewertung</w:t>
      </w:r>
    </w:p>
    <w:p>
      <w:r>
        <w:rPr>
          <w:color w:val="5A7D3A"/>
          <w:sz w:val="18"/>
        </w:rPr>
        <w:t>https://pubmed.ncbi.nlm.nih.gov/42894980/</w:t>
      </w:r>
    </w:p>
    <w:p>
      <w:pPr>
        <w:pStyle w:val="Heading2"/>
      </w:pPr>
      <w:r>
        <w:t>KI-gestützte Diagnostik und Entscheidungsunterstützung in der Psychiatrie: Europäische Perspektive</w:t>
      </w:r>
    </w:p>
    <w:p>
      <w:r>
        <w:rPr>
          <w:i/>
          <w:color w:val="666666"/>
          <w:sz w:val="18"/>
        </w:rPr>
        <w:t>Healy J et al.  ·  Eur Psychiatry  ·  19.10.2026  ·  PMID 42894499</w:t>
      </w:r>
    </w:p>
    <w:p>
      <w:r>
        <w:t>Narrative Übersichtsarbeit zur Rolle von KI und Machine Learning bei der Bewältigung von Herausforderungen in der europäischen psychiatrischen Versorgung, einschließlich Diagnoseverzögerungen, Fachkräftemangel und Burnout-Belastung.</w:t>
      </w:r>
    </w:p>
    <w:p>
      <w:r>
        <w:rPr>
          <w:b/>
        </w:rPr>
        <w:t xml:space="preserve">Ergebnis: </w:t>
      </w:r>
      <w:r>
        <w:t>Die Arbeit identifiziert digitale Technologien und KI als potenziell geeignet zur Verbesserung der psychischen Gesundheitsversorgung in Europa, nennt aber keine konkreten Leistungskennzahlen oder Effektgrößen.</w:t>
      </w:r>
    </w:p>
    <w:p>
      <w:r>
        <w:rPr>
          <w:b/>
          <w:sz w:val="19"/>
        </w:rPr>
        <w:t xml:space="preserve">Übertragbarkeit: </w:t>
      </w:r>
      <w:r>
        <w:rPr>
          <w:sz w:val="19"/>
        </w:rPr>
        <w:t>Europäischer Schwerpunkt, vergleichbare Gesundheitssysteme und Herausforderungen</w:t>
      </w:r>
    </w:p>
    <w:p>
      <w:r>
        <w:rPr>
          <w:color w:val="5A7D3A"/>
          <w:sz w:val="18"/>
        </w:rPr>
        <w:t>https://pubmed.ncbi.nlm.nih.gov/42894499/</w:t>
      </w:r>
    </w:p>
    <w:p>
      <w:pPr>
        <w:pStyle w:val="Heading2"/>
      </w:pPr>
      <w:r>
        <w:t>LLM-Vergleich für klinische Entscheidungsunterstützung in der Implantologie: Spezifität, Genauigkeit und klinischer Nutzen</w:t>
      </w:r>
    </w:p>
    <w:p>
      <w:r>
        <w:rPr>
          <w:i/>
          <w:color w:val="666666"/>
          <w:sz w:val="18"/>
        </w:rPr>
        <w:t>Alevizakos V et al.  ·  BMC Oral Health  ·  23.07.2026  ·  PMID 42894220</w:t>
      </w:r>
    </w:p>
    <w:p>
      <w:r>
        <w:t>Vergleich von vier Large Language Models (ChatGPT, Gemini, LLaMA mit und ohne Retrieval-Augmented Generation) durch blinded Expert Assessment bezüglich Spezifität, Genauigkeit und klinischer Nutzbarkeit bei 16 zahnärztlichen Fragen.</w:t>
      </w:r>
    </w:p>
    <w:p>
      <w:r>
        <w:rPr>
          <w:b/>
        </w:rPr>
        <w:t xml:space="preserve">Ergebnis: </w:t>
      </w:r>
      <w:r>
        <w:t>LLaMA 3.2 mit RAG erzielte höchste Scores über alle Kriterien (Spezifität Median 9,0, Genauigkeit 9,5, klinischer Nutzen 10,0; alle p&lt;0,001 vs. andere Modelle). RAG-Modelle mit Zugriff auf strukturierte Leitlinien zeigten superior konsistente klinische Performance.</w:t>
      </w:r>
    </w:p>
    <w:p>
      <w:r>
        <w:rPr>
          <w:b/>
          <w:sz w:val="19"/>
        </w:rPr>
        <w:t xml:space="preserve">Übertragbarkeit: </w:t>
      </w:r>
      <w:r>
        <w:rPr>
          <w:sz w:val="19"/>
        </w:rPr>
        <w:t>Zahnmedizin mit europäischen Studienteilnehmern, Methodologie auf deutsches Gesundheitssystem übertragbar</w:t>
      </w:r>
    </w:p>
    <w:p>
      <w:r>
        <w:rPr>
          <w:color w:val="5A7D3A"/>
          <w:sz w:val="18"/>
        </w:rPr>
        <w:t>https://pubmed.ncbi.nlm.nih.gov/42894220/</w:t>
      </w:r>
    </w:p>
    <w:p>
      <w:pPr>
        <w:pStyle w:val="Heading2"/>
      </w:pPr>
      <w:r>
        <w:t>Real-World Evidence aus EHR-Daten: KI-gestützte Auswertung von Dialysepatienten-Registern zur Optimierung der Anämiebehandlung</w:t>
      </w:r>
    </w:p>
    <w:p>
      <w:r>
        <w:rPr>
          <w:i/>
          <w:color w:val="666666"/>
          <w:sz w:val="18"/>
        </w:rPr>
        <w:t>Birnie K et al.  ·  Pharmacoepidemiol Drug Saf  ·  Nov. 2026  ·  PMID 42893801</w:t>
      </w:r>
    </w:p>
    <w:p>
      <w:r>
        <w:t>Retrospektive Real-World-Evidence-Studie mit EHR-Daten von UK-Nierenzentren (n=8.628, 2004–2016) zur Evaluation unterschiedlicher Hämoglobin-Ziele unter standardisiertem Darbepoetin-Protokoll mittels Machine Learning (clone-censor-weight).</w:t>
      </w:r>
    </w:p>
    <w:p>
      <w:r>
        <w:rPr>
          <w:b/>
        </w:rPr>
        <w:t xml:space="preserve">Ergebnis: </w:t>
      </w:r>
      <w:r>
        <w:t>Hazard Ratio für Mortalität bei Hämoglobin 105–125 g/L vs. 95–115 g/L: 0,92 (95% KI 0,75–1,12); bei &gt;125 g/L: 1,20 (95% KI 0,94–1,54). Moderate Hämoglobin-Ziele waren nicht mit erhöhter Mortalität assoziiert.</w:t>
      </w:r>
    </w:p>
    <w:p>
      <w:r>
        <w:rPr>
          <w:b/>
          <w:sz w:val="19"/>
        </w:rPr>
        <w:t xml:space="preserve">Übertragbarkeit: </w:t>
      </w:r>
      <w:r>
        <w:rPr>
          <w:sz w:val="19"/>
        </w:rPr>
        <w:t>Britisches Nierenregister, vergleichbare Sozialversicherung und Dokumentationspflichten wie Deutschland</w:t>
      </w:r>
    </w:p>
    <w:p>
      <w:r>
        <w:rPr>
          <w:color w:val="5A7D3A"/>
          <w:sz w:val="18"/>
        </w:rPr>
        <w:t>https://pubmed.ncbi.nlm.nih.gov/42893801/</w:t>
      </w:r>
    </w:p>
    <w:p>
      <w:pPr>
        <w:pStyle w:val="Heading2"/>
      </w:pPr>
      <w:r>
        <w:t>Cybersicherheit von Remote-Patient-Monitoring-Systemen in Klinikum: europäisches Observational-Protokoll</w:t>
      </w:r>
    </w:p>
    <w:p>
      <w:r>
        <w:rPr>
          <w:i/>
          <w:color w:val="666666"/>
          <w:sz w:val="18"/>
        </w:rPr>
        <w:t>Falcone M et al.  ·  JMIR Res Protoc  ·  05.10.2026  ·  PMID 42832774</w:t>
      </w:r>
    </w:p>
    <w:p>
      <w:r>
        <w:t>Deutsches Observational-Study-Protokoll zur systematischen Analyse der Cybersicherheit, Systemresilienz und Nutzerverhalten von IoMT-gestützten Remote-Patient-Monitoring-Systemen über deren gesamten Lebenszyklus in Klinik- und Homecare-Umgebung.</w:t>
      </w:r>
    </w:p>
    <w:p>
      <w:r>
        <w:rPr>
          <w:b/>
        </w:rPr>
        <w:t xml:space="preserve">Ergebnis: </w:t>
      </w:r>
      <w:r>
        <w:t>Studiendesign mit System-Log-Analytik, Phishing-Simulation, Patch-Management-Bewertung und Awareness-Messungen; Ethical Approval erhalten (Dezember 2025), Patientenrekrutierung ab April 2026, Ergebnisse erwartet Oktober 2027.</w:t>
      </w:r>
    </w:p>
    <w:p>
      <w:r>
        <w:rPr>
          <w:b/>
          <w:sz w:val="19"/>
        </w:rPr>
        <w:t xml:space="preserve">Übertragbarkeit: </w:t>
      </w:r>
      <w:r>
        <w:rPr>
          <w:sz w:val="19"/>
        </w:rPr>
        <w:t>Deutsches Krankenhaus (Italien), EU-Regulierungskontext mit KI-Verordnung und MDR</w:t>
      </w:r>
    </w:p>
    <w:p>
      <w:r>
        <w:rPr>
          <w:color w:val="5A7D3A"/>
          <w:sz w:val="18"/>
        </w:rPr>
        <w:t>https://pubmed.ncbi.nlm.nih.gov/42832774/</w:t>
      </w:r>
    </w:p>
    <w:p>
      <w:pPr>
        <w:pStyle w:val="Heading1"/>
      </w:pPr>
      <w:r>
        <w:t>Aufgenommen am 21.10.2026</w:t>
      </w:r>
    </w:p>
    <w:p>
      <w:pPr>
        <w:pStyle w:val="Heading2"/>
      </w:pPr>
      <w:r>
        <w:t>Patientenbeteiligung an EHR-Dokumentation: Kommentarfunktion verbessert Genauigkeit</w:t>
      </w:r>
    </w:p>
    <w:p>
      <w:r>
        <w:rPr>
          <w:i/>
          <w:color w:val="666666"/>
          <w:sz w:val="18"/>
        </w:rPr>
        <w:t>Hagström J et al.  ·  J Med Internet Res  ·  20.10.2026  ·  PMID 42901489</w:t>
      </w:r>
    </w:p>
    <w:p>
      <w:r>
        <w:t>Schwedische Studie zur Nutzung einer Kommentarfunktion in der Elektronischen Patientenakte durch Patienten – untersucht, wie Patienten klinische Notizen kommentieren und welche Potenziale dies für die Dokumentationsqualität hat.</w:t>
      </w:r>
    </w:p>
    <w:p>
      <w:r>
        <w:rPr>
          <w:b/>
        </w:rPr>
        <w:t xml:space="preserve">Ergebnis: </w:t>
      </w:r>
      <w:r>
        <w:t>Von 1.670 Kommentaren waren 99,1% inhaltlich relevant; 57,3% bezogen sich auf Inhalte jenseits der Notiz selbst; 55,6% hatten neutralen, 42,4% negativen Ton. Patienten mit psychiatrischen Einträgen hinterließen deutlich mehr Kommentare (Median 7 vs. 2; p&lt;0,001) mit höherer Negativrate (63,2% vs. 33,5%). Die Funktion birgt sowohl Chancen für Genauigkeit als auch Risiken, die durch absichtliches Design mitigiert werden müssen.</w:t>
      </w:r>
    </w:p>
    <w:p>
      <w:r>
        <w:rPr>
          <w:b/>
          <w:sz w:val="19"/>
        </w:rPr>
        <w:t xml:space="preserve">Übertragbarkeit: </w:t>
      </w:r>
      <w:r>
        <w:rPr>
          <w:sz w:val="19"/>
        </w:rPr>
        <w:t>Schweden, nationale EHR mit längerer Nutzungshistorie; Designprinzipien übertragbar auf deutsche EPA</w:t>
      </w:r>
    </w:p>
    <w:p>
      <w:r>
        <w:rPr>
          <w:color w:val="5A7D3A"/>
          <w:sz w:val="18"/>
        </w:rPr>
        <w:t>https://pubmed.ncbi.nlm.nih.gov/42901489/</w:t>
      </w:r>
    </w:p>
    <w:p>
      <w:pPr>
        <w:pStyle w:val="Heading2"/>
      </w:pPr>
      <w:r>
        <w:t>Workarounds bei der Einführung von integrierten Gesundheitsakten: Wie Nutzer Systeme anpassen</w:t>
      </w:r>
    </w:p>
    <w:p>
      <w:r>
        <w:rPr>
          <w:i/>
          <w:color w:val="666666"/>
          <w:sz w:val="18"/>
        </w:rPr>
        <w:t>Sai V et al.  ·  JMIR Med Inform  ·  20.10.2026  ·  PMID 42901487</w:t>
      </w:r>
    </w:p>
    <w:p>
      <w:r>
        <w:t>Qualitative Studie über 13 Jahre Evolution eines Informationssystems (Key Information Summary) in Schottland – untersucht, wie formale und informelle Nutzer-Workarounds die Adoption und lokale Anpassung eines Systems zur Informationsfreigabe zwischen Gesundheits- und Sozialdiensten prägen.</w:t>
      </w:r>
    </w:p>
    <w:p>
      <w:r>
        <w:rPr>
          <w:b/>
        </w:rPr>
        <w:t xml:space="preserve">Ergebnis: </w:t>
      </w:r>
      <w:r>
        <w:t>Analyse von 54 Interviews, 59 Dokumenten und 20 Stunden Beobachtung zeigt: Adoption variierte je Setting und Zeit durch Misalignment zwischen Systemdesign, erwarteten integrierten Versorgungszielen und COVID-19-Initiativen. Formale Workarounds erweiterten die Infrastruktur in nonclinische Settings; informelle Nutzer-Reparaturpraktiken ermöglichten flexible Anpassung. Professionelle Rollen und Informationsbedarf erzeugten Spannungen zwischen Nutzern und Systemeigentümern.</w:t>
      </w:r>
    </w:p>
    <w:p>
      <w:r>
        <w:rPr>
          <w:b/>
          <w:sz w:val="19"/>
        </w:rPr>
        <w:t xml:space="preserve">Übertragbarkeit: </w:t>
      </w:r>
      <w:r>
        <w:rPr>
          <w:sz w:val="19"/>
        </w:rPr>
        <w:t>Großbritannien/Schottland, vergleichbarer Versorgungsauftrag; Lessons zu Workarounds relevant für deutsche Digitalisierungsprojekte</w:t>
      </w:r>
    </w:p>
    <w:p>
      <w:r>
        <w:rPr>
          <w:color w:val="5A7D3A"/>
          <w:sz w:val="18"/>
        </w:rPr>
        <w:t>https://pubmed.ncbi.nlm.nih.gov/42901487/</w:t>
      </w:r>
    </w:p>
    <w:p>
      <w:pPr>
        <w:pStyle w:val="Heading2"/>
      </w:pPr>
      <w:r>
        <w:t>Machine Learning zur Vorhersage von Blutstrominfektionen bei Chemotherapiepatienten</w:t>
      </w:r>
    </w:p>
    <w:p>
      <w:r>
        <w:rPr>
          <w:i/>
          <w:color w:val="666666"/>
          <w:sz w:val="18"/>
        </w:rPr>
        <w:t>Villani Junior A et al.  ·  Support Care Cancer  ·  20.10.2026  ·  PMID 42900238</w:t>
      </w:r>
    </w:p>
    <w:p>
      <w:r>
        <w:t>Retrospektive Studie an 1.220 Krebspatienten mit 1.435 bestätigten Blutstrominfektionen (2017–2022) – nutzt Multi-Label-Klassifikation mit Machine Learning, um Risikofaktoren für verschiedene Resistenzphänotypen zu identifizieren und Entscheidungshilfen für empirische Therapie zu verbessern.</w:t>
      </w:r>
    </w:p>
    <w:p>
      <w:r>
        <w:rPr>
          <w:b/>
        </w:rPr>
        <w:t xml:space="preserve">Ergebnis: </w:t>
      </w:r>
      <w:r>
        <w:t>83,1% der Infektionen waren Non-MDRO oder pilzlich; 7,6% carbapenem-resistent. Beste Modellperformance für carbapenem-resistente Gram-negative Erreger (AUC-ROC 83,25%). Schlüsselprädiktor: Hospitalisierungstage, hämatologische Malignität, frühere MDRO-Infektion, Monozytopenie, palliative Chemotherapie. Chemotherapieklasse trug differenziell bei (z.B. Alkylanzien→Candidämie). Multi-Label-Ansatz half, komplexe Ätiologien zu differenzieren.</w:t>
      </w:r>
    </w:p>
    <w:p>
      <w:r>
        <w:rPr>
          <w:b/>
          <w:sz w:val="19"/>
        </w:rPr>
        <w:t xml:space="preserve">Übertragbarkeit: </w:t>
      </w:r>
      <w:r>
        <w:rPr>
          <w:sz w:val="19"/>
        </w:rPr>
        <w:t>Brasilien, spezialisiertes Krebszentrum; Methodik auf europäische Zentren übertragbar, aber institutsspezifische Epidemiologie beachten</w:t>
      </w:r>
    </w:p>
    <w:p>
      <w:r>
        <w:rPr>
          <w:color w:val="5A7D3A"/>
          <w:sz w:val="18"/>
        </w:rPr>
        <w:t>https://pubmed.ncbi.nlm.nih.gov/42900238/</w:t>
      </w:r>
    </w:p>
    <w:p>
      <w:pPr>
        <w:pStyle w:val="Heading2"/>
      </w:pPr>
      <w:r>
        <w:t>KI-gestützte Diabetische-Retinopathie-Screening: Von Algorithmen zu Versorgungseffekt und Equity</w:t>
      </w:r>
    </w:p>
    <w:p>
      <w:r>
        <w:rPr>
          <w:i/>
          <w:color w:val="666666"/>
          <w:sz w:val="18"/>
        </w:rPr>
        <w:t>Chen J et al.  ·  Front Public Health  ·  05.10.2026  ·  PMID 42898801</w:t>
      </w:r>
    </w:p>
    <w:p>
      <w:r>
        <w:t>Review zur Implementierung von KI-Screening für diabetische Retinopathie in der Versorgung – reframed die Frage von Algorithmusgenauigkeit auf die gesamte Kette Screening→Behandlung, mit Fokus auf Gleichberechtigung und Population Health Impact.</w:t>
      </w:r>
    </w:p>
    <w:p>
      <w:r>
        <w:rPr>
          <w:b/>
        </w:rPr>
        <w:t xml:space="preserve">Ergebnis: </w:t>
      </w:r>
      <w:r>
        <w:t>Diagnostische Genauigkeit allein garantiert keinen Gesundheitsnutzen. Vier-Domänen-Rahmen identifiziert: technische Validität, Serviceintegration, Populationseffekt und Equity/Nachhaltigkeit. Wichtige Faktoren: Erreichung der Zielgruppe, Bildqualität, Überweisungsabschluss, Behandlungskapazität, finanzielle/geografische Barrieren. Zukünftige Forschung sollte Vergleichsstudien zu Implementation und Equity-Outcomes priorisieren.</w:t>
      </w:r>
    </w:p>
    <w:p>
      <w:r>
        <w:rPr>
          <w:b/>
          <w:sz w:val="19"/>
        </w:rPr>
        <w:t xml:space="preserve">Übertragbarkeit: </w:t>
      </w:r>
      <w:r>
        <w:rPr>
          <w:sz w:val="19"/>
        </w:rPr>
        <w:t>China-basiert, aber Framework und Prinzipien universell; für Deutschland relevant zur Gesundheitspolitik der KI-Implementierung</w:t>
      </w:r>
    </w:p>
    <w:p>
      <w:r>
        <w:rPr>
          <w:color w:val="5A7D3A"/>
          <w:sz w:val="18"/>
        </w:rPr>
        <w:t>https://pubmed.ncbi.nlm.nih.gov/42898801/</w:t>
      </w:r>
    </w:p>
    <w:p>
      <w:pPr>
        <w:pStyle w:val="Heading2"/>
      </w:pPr>
      <w:r>
        <w:t>KI-Nutzung durch Kliniker in USA und UK: Lücke zwischen Bewusstsein und klinischer Praxis</w:t>
      </w:r>
    </w:p>
    <w:p>
      <w:r>
        <w:rPr>
          <w:i/>
          <w:color w:val="666666"/>
          <w:sz w:val="18"/>
        </w:rPr>
        <w:t>Sezgin E et al.  ·  JMIR Form Res  ·  19.10.2026  ·  PMID 42896135</w:t>
      </w:r>
    </w:p>
    <w:p>
      <w:r>
        <w:t>Querschnittsstudie mit 524 Fachkräften aus USA und UK zur aktuellen KI-Anwendung, Zugänglichkeit, Hürden und Adoptionsfaktoren in der Versorgung – untersucht, wie national und beruflich unterschiedlich KI-Tools genutzt werden.</w:t>
      </w:r>
    </w:p>
    <w:p>
      <w:r>
        <w:rPr>
          <w:b/>
        </w:rPr>
        <w:t xml:space="preserve">Ergebnis: </w:t>
      </w:r>
      <w:r>
        <w:t>KI-Nutzung war weit verbreitet, variierte aber stark je Fachgruppe und Land. Zentral für Adoption: belastbare Evidenz, organisatorische Unterstützung, Schulung, Datenschutz und klinische Workflow-Integration. Studie identifiziert Schlüsselhürden für verantwortungsvolle Implementierung.</w:t>
      </w:r>
    </w:p>
    <w:p>
      <w:r>
        <w:rPr>
          <w:b/>
          <w:sz w:val="19"/>
        </w:rPr>
        <w:t xml:space="preserve">Übertragbarkeit: </w:t>
      </w:r>
      <w:r>
        <w:rPr>
          <w:sz w:val="19"/>
        </w:rPr>
        <w:t>USA und Großbritannien; Erkenntnisse zu Adoptionsbarrieren strukturell und regulatorisch teilweise übertragbar, aber digitaler Reifegrad unterschiedlich</w:t>
      </w:r>
    </w:p>
    <w:p>
      <w:r>
        <w:rPr>
          <w:color w:val="5A7D3A"/>
          <w:sz w:val="18"/>
        </w:rPr>
        <w:t>https://pubmed.ncbi.nlm.nih.gov/42896135/</w:t>
      </w:r>
    </w:p>
    <w:p>
      <w:pPr>
        <w:pStyle w:val="Heading2"/>
      </w:pPr>
      <w:r>
        <w:t>KI-gestützte Remote-Überwachung bei Herzinsuffizienz: von Druckmessung zur adaptiven Versorgung</w:t>
      </w:r>
    </w:p>
    <w:p>
      <w:r>
        <w:rPr>
          <w:i/>
          <w:color w:val="666666"/>
          <w:sz w:val="18"/>
        </w:rPr>
        <w:t>Angermann CE et al.  ·  Curr Heart Fail Rep  ·  19.10.2026  ·  PMID 42895671</w:t>
      </w:r>
    </w:p>
    <w:p>
      <w:r>
        <w:t>Review zu Möglichkeiten, KI zur Personalisierung von Remote-Patient-Management bei Herzinsuffizienz einzusetzen – untersucht, wie implantierte Drucksensoren mit KI-gestützter Risikoschichtung und individualisierten Monitoring-Plänen Outcomes verbessern könnten.</w:t>
      </w:r>
    </w:p>
    <w:p>
      <w:r>
        <w:rPr>
          <w:b/>
        </w:rPr>
        <w:t xml:space="preserve">Ergebnis: </w:t>
      </w:r>
      <w:r>
        <w:t>Randomisierte Studien (CHAMPION, GUIDE-HF, MONITOR-HF) zeigen: Druckgesteuertes Management reduziert Hospitalisierungen signifikant, aber erhebliches Residualrisiko bleibt. KI könnte multidimensionale Phänotypisierung für Pre-Implant-Selektion, personalisierte klinische Entscheidungshilfe und dynamische Anpassung der Monitoring-Intensität ermöglichen – mit Potenzial für bessere Outcomes, weniger Aufwand, höhere Kosteneffektivität.</w:t>
      </w:r>
    </w:p>
    <w:p>
      <w:r>
        <w:rPr>
          <w:b/>
          <w:sz w:val="19"/>
        </w:rPr>
        <w:t xml:space="preserve">Übertragbarkeit: </w:t>
      </w:r>
      <w:r>
        <w:rPr>
          <w:sz w:val="19"/>
        </w:rPr>
        <w:t>Deutschland und Niederlande (Autoren), kardiale Versorgungsstruktur vergleichbar; praktische Implementierbarkeit abhängig von Infrastruktur</w:t>
      </w:r>
    </w:p>
    <w:p>
      <w:r>
        <w:rPr>
          <w:color w:val="5A7D3A"/>
          <w:sz w:val="18"/>
        </w:rPr>
        <w:t>https://pubmed.ncbi.nlm.nih.gov/42895671/</w:t>
      </w:r>
    </w:p>
    <w:p>
      <w:pPr>
        <w:pStyle w:val="Heading1"/>
      </w:pPr>
      <w:r>
        <w:t>Aufgenommen am 20.10.2026</w:t>
      </w:r>
    </w:p>
    <w:p>
      <w:pPr>
        <w:pStyle w:val="Heading2"/>
      </w:pPr>
      <w:r>
        <w:t>KI in psychiatrischer Praxis: Praktiker wollen AI nicht bei Diagnosen</w:t>
      </w:r>
    </w:p>
    <w:p>
      <w:r>
        <w:rPr>
          <w:i/>
          <w:color w:val="666666"/>
          <w:sz w:val="18"/>
        </w:rPr>
        <w:t>Alotaibi A et al.  ·  JMIR Ment Health  ·  19.10.2026  ·  PMID 42896178</w:t>
      </w:r>
    </w:p>
    <w:p>
      <w:r>
        <w:t>Qualitative Studie mit 18 Psychiatern zu ihrer Sichtweise auf KI-Einsatz über das gesamte therapeutische Spektrum (Diagnostik, Diagnose, Behandlung).</w:t>
      </w:r>
    </w:p>
    <w:p>
      <w:r>
        <w:rPr>
          <w:b/>
        </w:rPr>
        <w:t xml:space="preserve">Ergebnis: </w:t>
      </w:r>
      <w:r>
        <w:t>Praktiker sehen Mehrwert von KI bei Diagnostik und Behandlung, lehnen aber autonome KI-Diagnosen ab. Vier Design-Richtungen: (1) KI-Hubs für klinische Assessments, (2) NLP-Tools für Patientenperspektiven, (3) neue Vertrauensmodelle für Diagnose, (4) LLM-gestützte adaptive Unterstützung unter Wahrung menschlicher Partnerschaft. Kernaussage: KI als Validierungswerkzeug, nicht Ersatz.</w:t>
      </w:r>
    </w:p>
    <w:p>
      <w:r>
        <w:rPr>
          <w:b/>
          <w:sz w:val="19"/>
        </w:rPr>
        <w:t xml:space="preserve">Übertragbarkeit: </w:t>
      </w:r>
      <w:r>
        <w:rPr>
          <w:sz w:val="19"/>
        </w:rPr>
        <w:t>Großbritannien (Lancaster), Perspektive zur Implementierbarkeit nutzbar.</w:t>
      </w:r>
    </w:p>
    <w:p>
      <w:r>
        <w:rPr>
          <w:color w:val="5A7D3A"/>
          <w:sz w:val="18"/>
        </w:rPr>
        <w:t>https://pubmed.ncbi.nlm.nih.gov/42896178/</w:t>
      </w:r>
    </w:p>
    <w:p>
      <w:pPr>
        <w:pStyle w:val="Heading2"/>
      </w:pPr>
      <w:r>
        <w:t>Telemedizinische Stomapflege: verbesserte Selbstversorgung</w:t>
      </w:r>
    </w:p>
    <w:p>
      <w:r>
        <w:rPr>
          <w:i/>
          <w:color w:val="666666"/>
          <w:sz w:val="18"/>
        </w:rPr>
        <w:t>Korkmaz E et al.  ·  Nurs Open  ·  Okt. 2026  ·  PMID 42896164</w:t>
      </w:r>
    </w:p>
    <w:p>
      <w:r>
        <w:t>Qualitative Studie mit 7 Patienten mit Stoma, die Telemedizin-Pflege von privater Anbieter erhielten; Erfahrungen mit Produktverwaltung und Pflegeanleitung.</w:t>
      </w:r>
    </w:p>
    <w:p>
      <w:r>
        <w:rPr>
          <w:b/>
        </w:rPr>
        <w:t xml:space="preserve">Ergebnis: </w:t>
      </w:r>
      <w:r>
        <w:t>Patienten berichteten praktische, zeitnahe und personalisierte Unterstützung bei Adapter-Undichtigkeiten, Hautkomplikationen und Wundbeurteilung. Reduced hospital visits, gefühlte Sicherheit und Zufriedenheit. Telemedizin-Pflege als primäre, vertrauenswürdige Informationsquelle. Weiterführung könnte Versorgungskontinuität stärken, klinische Outcomes aber im Design nicht messbar.</w:t>
      </w:r>
    </w:p>
    <w:p>
      <w:r>
        <w:rPr>
          <w:b/>
          <w:sz w:val="19"/>
        </w:rPr>
        <w:t xml:space="preserve">Übertragbarkeit: </w:t>
      </w:r>
      <w:r>
        <w:rPr>
          <w:sz w:val="19"/>
        </w:rPr>
        <w:t>Türkei, ähnliche Versorgungskontexte in Europa, Generalisierbarkeit begrenzt.</w:t>
      </w:r>
    </w:p>
    <w:p>
      <w:r>
        <w:rPr>
          <w:color w:val="5A7D3A"/>
          <w:sz w:val="18"/>
        </w:rPr>
        <w:t>https://pubmed.ncbi.nlm.nih.gov/42896164/</w:t>
      </w:r>
    </w:p>
    <w:p>
      <w:pPr>
        <w:pStyle w:val="Heading2"/>
      </w:pPr>
      <w:r>
        <w:t>KI-Entscheidungsunterstuetzung in Hausarztpraxen: systematische Uebersicht</w:t>
      </w:r>
    </w:p>
    <w:p>
      <w:r>
        <w:rPr>
          <w:i/>
          <w:color w:val="666666"/>
          <w:sz w:val="18"/>
        </w:rPr>
        <w:t>Naye F et al.  ·  J Med Internet Res  ·  19.10.2026  ·  PMID 42896153</w:t>
      </w:r>
    </w:p>
    <w:p>
      <w:r>
        <w:t>Systematische Übersicht von 14 Studien zu KI-gestützten Entscheidungssystemen (AI-CDSS) in der Primärversorgung gegenüber Standardbehandlung oder nicht-KI-Systemen.</w:t>
      </w:r>
    </w:p>
    <w:p>
      <w:r>
        <w:rPr>
          <w:b/>
        </w:rPr>
        <w:t xml:space="preserve">Ergebnis: </w:t>
      </w:r>
      <w:r>
        <w:t>AI-CDSS zeigten konsistentere positive Effekte auf Workflow-Outcomes in strukturierten Kontexten (Screening, Überweisungen, Alertoptimierung). Patienteneffekte waren begrenzt und inkonsistent. Sicherheitsbewertung selten (nur 2 Studien mit vordefinierten Sicherheits-Outcomes). Hoches bis kritisches Bias-Risiko in allen Studien.</w:t>
      </w:r>
    </w:p>
    <w:p>
      <w:r>
        <w:rPr>
          <w:b/>
          <w:sz w:val="19"/>
        </w:rPr>
        <w:t xml:space="preserve">Übertragbarkeit: </w:t>
      </w:r>
      <w:r>
        <w:rPr>
          <w:sz w:val="19"/>
        </w:rPr>
        <w:t>Hocheinkommensländer, keine robusten Implementierungsnachweise.</w:t>
      </w:r>
    </w:p>
    <w:p>
      <w:r>
        <w:rPr>
          <w:color w:val="5A7D3A"/>
          <w:sz w:val="18"/>
        </w:rPr>
        <w:t>https://pubmed.ncbi.nlm.nih.gov/42896153/</w:t>
      </w:r>
    </w:p>
    <w:p>
      <w:pPr>
        <w:pStyle w:val="Heading2"/>
      </w:pPr>
      <w:r>
        <w:t>KI-gestuetzte Triage in der Notaufnahme: Metaanalyse</w:t>
      </w:r>
    </w:p>
    <w:p>
      <w:r>
        <w:rPr>
          <w:i/>
          <w:color w:val="666666"/>
          <w:sz w:val="18"/>
        </w:rPr>
        <w:t>Ashour FOM et al.  ·  J Med Internet Res  ·  19.10.2026  ·  PMID 42896140</w:t>
      </w:r>
    </w:p>
    <w:p>
      <w:r>
        <w:t>Systematische Übersicht mit Metaanalyse von 27 Studien zu KI- und ML-unterstützter Triage in Notaufnahmen gegenüber konventioneller Triage oder telemedizinischen Ansätzen.</w:t>
      </w:r>
    </w:p>
    <w:p>
      <w:r>
        <w:rPr>
          <w:b/>
        </w:rPr>
        <w:t xml:space="preserve">Ergebnis: </w:t>
      </w:r>
      <w:r>
        <w:t>Vier Studien zu kritischen Verschlechterungen zeigten gepoolte AUC 0,874 (95% KI 0,845–0,898). AI-Modelle in Aufnahme-Dispositionen: AUC 0,80–0,93. Szenario-Modellierung: Pro 10.000 ED-Besuche 12–38 weniger übersehene kritische Erkrankungen, aber 45–120 zusätzliche falsch-positive Eskalationen. Externe Validierung limitiert.</w:t>
      </w:r>
    </w:p>
    <w:p>
      <w:r>
        <w:rPr>
          <w:b/>
          <w:sz w:val="19"/>
        </w:rPr>
        <w:t xml:space="preserve">Übertragbarkeit: </w:t>
      </w:r>
      <w:r>
        <w:rPr>
          <w:sz w:val="19"/>
        </w:rPr>
        <w:t>Überwiegend Hocheinkommensländer, wenig pädiatrische Evidenz.</w:t>
      </w:r>
    </w:p>
    <w:p>
      <w:r>
        <w:rPr>
          <w:color w:val="5A7D3A"/>
          <w:sz w:val="18"/>
        </w:rPr>
        <w:t>https://pubmed.ncbi.nlm.nih.gov/42896140/</w:t>
      </w:r>
    </w:p>
    <w:p>
      <w:pPr>
        <w:pStyle w:val="Heading2"/>
      </w:pPr>
      <w:r>
        <w:t>AI-Vorhersage von Herzstillstand auf Normalstationen: pragmatische RCT-Studie</w:t>
      </w:r>
    </w:p>
    <w:p>
      <w:r>
        <w:rPr>
          <w:i/>
          <w:color w:val="666666"/>
          <w:sz w:val="18"/>
        </w:rPr>
        <w:t>Kim M et al.  ·  JMIR Res Protoc  ·  19.10.2026  ·  PMID 42895816</w:t>
      </w:r>
    </w:p>
    <w:p>
      <w:r>
        <w:t>Pragmatische Stepped-Wedge-RCT in vier südkoreanischen Universitätskliniken zur Wirkung eines KI-Systems (DeepCARS) auf die Inzidenz von Herzstillständen auf Normalstationen.</w:t>
      </w:r>
    </w:p>
    <w:p>
      <w:r>
        <w:rPr>
          <w:b/>
        </w:rPr>
        <w:t xml:space="preserve">Ergebnis: </w:t>
      </w:r>
      <w:r>
        <w:t>Studienprotokoll. Primärer Endpunkt: Inzidenz innerklinischer Herzstillstände auf Normalstationen. Zielstichprobe ~7.000 Patienten mit Alertschwelle überschritten, Gesamtenrollement ~72.695. Studienperiode April 2025–März 2026 abgeschlossen, primäre Ergebnisse für 2027 erwartet.</w:t>
      </w:r>
    </w:p>
    <w:p>
      <w:r>
        <w:rPr>
          <w:b/>
          <w:sz w:val="19"/>
        </w:rPr>
        <w:t xml:space="preserve">Übertragbarkeit: </w:t>
      </w:r>
      <w:r>
        <w:rPr>
          <w:sz w:val="19"/>
        </w:rPr>
        <w:t>Südkorea, Pragmatismus-Design bringt externe Validität, aber keine Ergebnisse verfügbar.</w:t>
      </w:r>
    </w:p>
    <w:p>
      <w:r>
        <w:rPr>
          <w:color w:val="5A7D3A"/>
          <w:sz w:val="18"/>
        </w:rPr>
        <w:t>https://pubmed.ncbi.nlm.nih.gov/42895816/</w:t>
      </w:r>
    </w:p>
    <w:p>
      <w:pPr>
        <w:pStyle w:val="Heading2"/>
      </w:pPr>
      <w:r>
        <w:t>App zur Deprescribing: PPI-Absetzen signifikant verbessert</w:t>
      </w:r>
    </w:p>
    <w:p>
      <w:r>
        <w:rPr>
          <w:i/>
          <w:color w:val="666666"/>
          <w:sz w:val="18"/>
        </w:rPr>
        <w:t>Koggel LM et al.  ·  United European Gastroenterol J  ·  Okt. 2026  ·  PMID 42894466</w:t>
      </w:r>
    </w:p>
    <w:p>
      <w:r>
        <w:t>Randomisierte Studie zur Wirkung einer App auf das Absetzen unnötiger Langzeit-Protonenpumpenhemmer in niederländischen Kliniken.</w:t>
      </w:r>
    </w:p>
    <w:p>
      <w:r>
        <w:rPr>
          <w:b/>
        </w:rPr>
        <w:t xml:space="preserve">Ergebnis: </w:t>
      </w:r>
      <w:r>
        <w:t>86% der App-Gruppe setzten PPIs ab vs. 64% der Kontrollgruppe (RR 1,34; 95% KI 1,11–1,61; p=0,002). Unerwünschte Ereignisse waren gering (15% vs. 14%). App-basierte Intervention zeigt signifikante Überlegenheit gegenüber Informationsbroschüre.</w:t>
      </w:r>
    </w:p>
    <w:p>
      <w:r>
        <w:rPr>
          <w:b/>
          <w:sz w:val="19"/>
        </w:rPr>
        <w:t xml:space="preserve">Übertragbarkeit: </w:t>
      </w:r>
      <w:r>
        <w:rPr>
          <w:sz w:val="19"/>
        </w:rPr>
        <w:t>Niederlande, vergleichbares Versicherungssystem, direkt anwendbar.</w:t>
      </w:r>
    </w:p>
    <w:p>
      <w:r>
        <w:rPr>
          <w:color w:val="5A7D3A"/>
          <w:sz w:val="18"/>
        </w:rPr>
        <w:t>https://pubmed.ncbi.nlm.nih.gov/42894466/</w:t>
      </w:r>
    </w:p>
    <w:p>
      <w:pPr>
        <w:pStyle w:val="Heading1"/>
      </w:pPr>
      <w:r>
        <w:t>Aufgenommen am 19.10.2026</w:t>
      </w:r>
    </w:p>
    <w:p>
      <w:pPr>
        <w:pStyle w:val="Heading2"/>
      </w:pPr>
      <w:r>
        <w:t>Ärztliche Wahrnehmung von digitaler Entscheidungsunterstützung: Ressourcenschonung</w:t>
      </w:r>
    </w:p>
    <w:p>
      <w:r>
        <w:rPr>
          <w:i/>
          <w:color w:val="666666"/>
          <w:sz w:val="18"/>
        </w:rPr>
        <w:t>West G et al.  ·  Ulster Med J  ·  19.10.2026  ·  PMID 42893089</w:t>
      </w:r>
    </w:p>
    <w:p>
      <w:r>
        <w:t>In einer britischen Online-Befragung wurden 105 Assistenzärzte (Rücklaufquote 62%) befragt, wie digitale Clinical-Decision-Support-Systeme (CDSS) ihre Entscheidungen zu unnötigen Tests, Überweisungen und stationären Aufnahmen beeinflussen.</w:t>
      </w:r>
    </w:p>
    <w:p>
      <w:r>
        <w:rPr>
          <w:b/>
        </w:rPr>
        <w:t xml:space="preserve">Ergebnis: </w:t>
      </w:r>
      <w:r>
        <w:t>72% der Ärzte stimmten zu, dass CDSS ihnen beim Vermeiden unnötiger Untersuchungen oder Behandlungen hilft; 42% berichten Vermeidung unnötiger Überweisungen, 31% Reduktion der Krankenhausverweildauer. Assistenzärzte bewerten CDSS als unterstützendes Werkzeug für Ressourceneffizienz.</w:t>
      </w:r>
    </w:p>
    <w:p>
      <w:r>
        <w:rPr>
          <w:b/>
          <w:sz w:val="19"/>
        </w:rPr>
        <w:t xml:space="preserve">Übertragbarkeit: </w:t>
      </w:r>
      <w:r>
        <w:rPr>
          <w:sz w:val="19"/>
        </w:rPr>
        <w:t>Großbritannien, aber Eigenwahrnehmung ohne objektive Messung von Ressourceneffekten – Generalisierbarkeit begrenzt.</w:t>
      </w:r>
    </w:p>
    <w:p>
      <w:r>
        <w:rPr>
          <w:color w:val="5A7D3A"/>
          <w:sz w:val="18"/>
        </w:rPr>
        <w:t>https://pubmed.ncbi.nlm.nih.gov/42893089/</w:t>
      </w:r>
    </w:p>
    <w:p>
      <w:pPr>
        <w:pStyle w:val="Heading2"/>
      </w:pPr>
      <w:r>
        <w:t>Sprachmodelle für Darmkrebsscreening: KI-gestützte Ansprache gegen Teilnahmequoten-Lücke</w:t>
      </w:r>
    </w:p>
    <w:p>
      <w:r>
        <w:rPr>
          <w:i/>
          <w:color w:val="666666"/>
          <w:sz w:val="18"/>
        </w:rPr>
        <w:t>Goiana-da-Silva F et al.  ·  Front Public Health  ·  30.09.2026  ·  PMID 42877195</w:t>
      </w:r>
    </w:p>
    <w:p>
      <w:r>
        <w:t>In Portugal wurde untersucht, ob conversational AI (LLM-basiert) mit Telefon- und Chatfunktionen die Adhärenz beim Darmkrebsscreening verbessern kann, wo aktuell nur 30,3% der Bevölkerung der Azoren teilnimmt.</w:t>
      </w:r>
    </w:p>
    <w:p>
      <w:r>
        <w:rPr>
          <w:b/>
        </w:rPr>
        <w:t xml:space="preserve">Ergebnis: </w:t>
      </w:r>
      <w:r>
        <w:t>Modellierung zeigt, dass gezielt eingesetzte Voice-KI bei einer Region mit extrem niedriger Teilnahme (30,3% vs. &gt;50% Ziel) ein vielversprechendes Werkzeug für dialogische Barrierenabbau darstellt; konkrete klinische Effekte liegen noch nicht vor (Perspektive-Artikel mit Modellierungsrahmen).</w:t>
      </w:r>
    </w:p>
    <w:p>
      <w:r>
        <w:rPr>
          <w:b/>
          <w:sz w:val="19"/>
        </w:rPr>
        <w:t xml:space="preserve">Übertragbarkeit: </w:t>
      </w:r>
      <w:r>
        <w:rPr>
          <w:sz w:val="19"/>
        </w:rPr>
        <w:t>Portugiesische Kontext, EU-Gesundheitssystem, aber erst theoretisches Modell – reale Evaluierung ausstehend.</w:t>
      </w:r>
    </w:p>
    <w:p>
      <w:r>
        <w:rPr>
          <w:color w:val="5A7D3A"/>
          <w:sz w:val="18"/>
        </w:rPr>
        <w:t>https://pubmed.ncbi.nlm.nih.gov/42877195/</w:t>
      </w:r>
    </w:p>
    <w:p>
      <w:pPr>
        <w:pStyle w:val="Heading2"/>
      </w:pPr>
      <w:r>
        <w:t>Machine Learning zur Vorhersage von Therapieansprechen: Brustkrebs nach Chemotherapie</w:t>
      </w:r>
    </w:p>
    <w:p>
      <w:r>
        <w:rPr>
          <w:i/>
          <w:color w:val="666666"/>
          <w:sz w:val="18"/>
        </w:rPr>
        <w:t>Reisig E et al.  ·  BMC Cancer  ·  08.10.2026  ·  PMID 42875758</w:t>
      </w:r>
    </w:p>
    <w:p>
      <w:r>
        <w:t>An der Universitätsklinik Heidelberg wurden klinische und bildgebende Daten (Ultraschall, Mammographie, MRT) von 388 Patientinnen mit neoadjuvanter Chemotherapie kombiniert, um mittels elastischer Netzregression die pathologische Komplettremission vorherzusagen.</w:t>
      </w:r>
    </w:p>
    <w:p>
      <w:r>
        <w:rPr>
          <w:b/>
        </w:rPr>
        <w:t xml:space="preserve">Ergebnis: </w:t>
      </w:r>
      <w:r>
        <w:t>Das Modell erreichte in der internen Validierung eine AUC von 0,76, eine Falsch-positiv-Rate von 8,7% und einen positiven Vorhersagewert von 75%. Die Kombination von Bildgebung und klinisch-pathologischen Merkmalen zeigt vielversprechende Diskriminationsfähigkeit.</w:t>
      </w:r>
    </w:p>
    <w:p>
      <w:r>
        <w:rPr>
          <w:b/>
          <w:sz w:val="19"/>
        </w:rPr>
        <w:t xml:space="preserve">Übertragbarkeit: </w:t>
      </w:r>
      <w:r>
        <w:rPr>
          <w:sz w:val="19"/>
        </w:rPr>
        <w:t>Deutsche Einzelklinik, Routinedaten, direkt auf hiesige Strukturen übertragbar.</w:t>
      </w:r>
    </w:p>
    <w:p>
      <w:r>
        <w:rPr>
          <w:color w:val="5A7D3A"/>
          <w:sz w:val="18"/>
        </w:rPr>
        <w:t>https://pubmed.ncbi.nlm.nih.gov/42875758/</w:t>
      </w:r>
    </w:p>
    <w:p>
      <w:pPr>
        <w:pStyle w:val="Heading2"/>
      </w:pPr>
      <w:r>
        <w:t>Automatische Zahnstatus-Analyse: Deep Learning für Panorama-Röntgen</w:t>
      </w:r>
    </w:p>
    <w:p>
      <w:r>
        <w:rPr>
          <w:i/>
          <w:color w:val="666666"/>
          <w:sz w:val="18"/>
        </w:rPr>
        <w:t>Saravi B et al.  ·  Clin Oral Investig  ·  15.10.2026  ·  PMID 42875660</w:t>
      </w:r>
    </w:p>
    <w:p>
      <w:r>
        <w:t>An zwei deutschen Universitätskliniken (Düsseldorf, Würzburg) wurde eine Deep-Learning-Pipeline zur automatisierten Klassifikation von Zahnstatus (DMFT-Score) auf Panorama-Röntgenbildern entwickelt und an 100 externen Bildern validiert.</w:t>
      </w:r>
    </w:p>
    <w:p>
      <w:r>
        <w:rPr>
          <w:b/>
        </w:rPr>
        <w:t xml:space="preserve">Ergebnis: </w:t>
      </w:r>
      <w:r>
        <w:t>Die Pipeline erreichte eine Intraklassen-Korrelation von 0,84 (Referenz: 0,88 zwischen zwei Zahnärzten) und einen mittleren absoluten Fehler von 2,38, war aber bei kariösen Zähnen unzuverlässig (r=0,34 vs. r=0,16 zwischen Zahnärzten). Autoren klassifizieren das System als Forschungswerkzeug, nicht als klinisches Entscheidungshilfesystem.</w:t>
      </w:r>
    </w:p>
    <w:p>
      <w:r>
        <w:rPr>
          <w:b/>
          <w:sz w:val="19"/>
        </w:rPr>
        <w:t xml:space="preserve">Übertragbarkeit: </w:t>
      </w:r>
      <w:r>
        <w:rPr>
          <w:sz w:val="19"/>
        </w:rPr>
        <w:t>Deutsche Daten, externe Validierung, aber ohne klinische Anwendungsreife – noch nicht entscheidungsunterstützend.</w:t>
      </w:r>
    </w:p>
    <w:p>
      <w:r>
        <w:rPr>
          <w:color w:val="5A7D3A"/>
          <w:sz w:val="18"/>
        </w:rPr>
        <w:t>https://pubmed.ncbi.nlm.nih.gov/42875660/</w:t>
      </w:r>
    </w:p>
    <w:p>
      <w:pPr>
        <w:pStyle w:val="Heading2"/>
      </w:pPr>
      <w:r>
        <w:t>Digitale Resilienzförderung in der Perinatalmedizin: Schwedische RCT-Studie</w:t>
      </w:r>
    </w:p>
    <w:p>
      <w:r>
        <w:rPr>
          <w:i/>
          <w:color w:val="666666"/>
          <w:sz w:val="18"/>
        </w:rPr>
        <w:t>Löf M et al.  ·  BMC Public Health  ·  03.10.2026  ·  PMID 42870238</w:t>
      </w:r>
    </w:p>
    <w:p>
      <w:r>
        <w:t>In Schweden wird in einer RCT mit 440 schwangeren Frauen geprüft, ob eine auf positive Psychologie, Selbstmitgefühl und partizipativer Designentwicklung basierende App die psychische Resilienz vom 2. Trimester bis 8 Wochen postpartum verbessert.</w:t>
      </w:r>
    </w:p>
    <w:p>
      <w:r>
        <w:rPr>
          <w:b/>
        </w:rPr>
        <w:t xml:space="preserve">Ergebnis: </w:t>
      </w:r>
      <w:r>
        <w:t>Dies ist ein Studienprotokoll ohne Ergebnisse; geplante primäre Outcome ist psychische Resilienz, sekundäre Outcomes sind Wohlbefinden und depressive Symptome. Randomisierung ab gestational week 12–14, Nachverfolgung bis 8 Wochen postpartum.</w:t>
      </w:r>
    </w:p>
    <w:p>
      <w:r>
        <w:rPr>
          <w:b/>
          <w:sz w:val="19"/>
        </w:rPr>
        <w:t xml:space="preserve">Übertragbarkeit: </w:t>
      </w:r>
      <w:r>
        <w:rPr>
          <w:sz w:val="19"/>
        </w:rPr>
        <w:t>Skandinavien (höherer Digitalisierungsgrad), aber Protokoll ohne Resultate – erst bei Datenveröffentlichung relevant.</w:t>
      </w:r>
    </w:p>
    <w:p>
      <w:r>
        <w:rPr>
          <w:color w:val="5A7D3A"/>
          <w:sz w:val="18"/>
        </w:rPr>
        <w:t>https://pubmed.ncbi.nlm.nih.gov/42870238/</w:t>
      </w:r>
    </w:p>
    <w:p>
      <w:pPr>
        <w:pStyle w:val="Heading2"/>
      </w:pPr>
      <w:r>
        <w:t>Machine Learning zur frühen Asthma-Vorhersage: Dänische Geburtskohorten-Studie</w:t>
      </w:r>
    </w:p>
    <w:p>
      <w:r>
        <w:rPr>
          <w:i/>
          <w:color w:val="666666"/>
          <w:sz w:val="18"/>
        </w:rPr>
        <w:t>Skov FR et al.  ·  Pediatr Allergy Immunol  ·  Okt. 2026  ·  PMID 42851161</w:t>
      </w:r>
    </w:p>
    <w:p>
      <w:r>
        <w:t>In der dänischen COPSAC-Kohorte wurden 411 Kinder mit 113 frühen klinischen, genetischen, immunologischen und lungenfunktionalen Merkmalen analysiert; fünf ML-Modelle sollten persistentes Asthma oder allergische Rhinitis vorhersagen.</w:t>
      </w:r>
    </w:p>
    <w:p>
      <w:r>
        <w:rPr>
          <w:b/>
        </w:rPr>
        <w:t xml:space="preserve">Ergebnis: </w:t>
      </w:r>
      <w:r>
        <w:t>Alle Modelle zeigten schwache Vorhersagekraft (maximale AUC 0,63 für persistierende Rhinitis vs. Kontrollen, 0,59 für persistierendes Asthma). Biologisch plausible Features (Allergen-Sensibilisierung, genetische Veranlagung) identifiziert, aber keine diskriminativen Leistung – frühe Daten allein reichen nicht für individuelle Prognose.</w:t>
      </w:r>
    </w:p>
    <w:p>
      <w:r>
        <w:rPr>
          <w:b/>
          <w:sz w:val="19"/>
        </w:rPr>
        <w:t xml:space="preserve">Übertragbarkeit: </w:t>
      </w:r>
      <w:r>
        <w:rPr>
          <w:sz w:val="19"/>
        </w:rPr>
        <w:t>Dänemark, hochwertige Kohorten, aber negatives Ergebnis – Prädiktoren mit frühen Daten allein unzureichend.</w:t>
      </w:r>
    </w:p>
    <w:p>
      <w:r>
        <w:rPr>
          <w:color w:val="5A7D3A"/>
          <w:sz w:val="18"/>
        </w:rPr>
        <w:t>https://pubmed.ncbi.nlm.nih.gov/42851161/</w:t>
      </w:r>
    </w:p>
    <w:p>
      <w:pPr>
        <w:pStyle w:val="Heading1"/>
      </w:pPr>
      <w:r>
        <w:t>Aufgenommen am 18.10.2026</w:t>
      </w:r>
    </w:p>
    <w:p>
      <w:pPr>
        <w:pStyle w:val="Heading2"/>
      </w:pPr>
      <w:r>
        <w:t>Digitale Information in der Palliativversorgung: Chancen und Umsetzungsvoraussetzungen</w:t>
      </w:r>
    </w:p>
    <w:p>
      <w:r>
        <w:rPr>
          <w:i/>
          <w:color w:val="666666"/>
          <w:sz w:val="18"/>
        </w:rPr>
        <w:t>Weisser A et al.  ·  BMC Palliat Care  ·  16.10.2026  ·  PMID 42888399</w:t>
      </w:r>
    </w:p>
    <w:p>
      <w:r>
        <w:t>Qualitative Studie mit acht Fachpersonen und drei informellen Pflegepersonen zu Barrieren und Chancen digitaler Technologien in der spezialisierten Palliativversorgung zu Hause in Deutschland.</w:t>
      </w:r>
    </w:p>
    <w:p>
      <w:r>
        <w:rPr>
          <w:b/>
        </w:rPr>
        <w:t xml:space="preserve">Ergebnis: </w:t>
      </w:r>
      <w:r>
        <w:t>Befragte beschrieben die Versorgung als holistische und funktionstüchtig, aber mit fragmentierten Kommunikationswegen und Datenverwaltung. Informelle Pflegepersonen agieren häufig als Informationsvermittler und tragen erhebliche organisatorische Last. Beide Gruppen sahen in zentralisierter digitaler Informationsaustausch Hauptchance zur Entlastung.</w:t>
      </w:r>
    </w:p>
    <w:p>
      <w:r>
        <w:rPr>
          <w:b/>
          <w:sz w:val="19"/>
        </w:rPr>
        <w:t xml:space="preserve">Übertragbarkeit: </w:t>
      </w:r>
      <w:r>
        <w:rPr>
          <w:sz w:val="19"/>
        </w:rPr>
        <w:t>Deutschland, spezialisierte Palliativversorgung, direkt übertragbar auf deutsches System</w:t>
      </w:r>
    </w:p>
    <w:p>
      <w:r>
        <w:rPr>
          <w:color w:val="5A7D3A"/>
          <w:sz w:val="18"/>
        </w:rPr>
        <w:t>https://pubmed.ncbi.nlm.nih.gov/42888399/</w:t>
      </w:r>
    </w:p>
    <w:p>
      <w:pPr>
        <w:pStyle w:val="Heading1"/>
      </w:pPr>
      <w:r>
        <w:t>Aufgenommen am 17.10.2026</w:t>
      </w:r>
    </w:p>
    <w:p>
      <w:pPr>
        <w:pStyle w:val="Heading2"/>
      </w:pPr>
      <w:r>
        <w:t>Spracherkennung für Klinikdokumentation: Vergleich dreier Ambient-Listening-Systeme</w:t>
      </w:r>
    </w:p>
    <w:p>
      <w:r>
        <w:rPr>
          <w:i/>
          <w:color w:val="666666"/>
          <w:sz w:val="18"/>
        </w:rPr>
        <w:t>Hoekman AH et al.  ·  JMIR Med Inform  ·  16.10.2026  ·  PMID 42887000</w:t>
      </w:r>
    </w:p>
    <w:p>
      <w:r>
        <w:t>Vergleich von drei kommerziellen KI-Systemen zur automatischen Dokumentation von Arzt-Patienten-Gesprächen im Niederländischen unter verschiedenen Kommunikationsschwierigkeiten.</w:t>
      </w:r>
    </w:p>
    <w:p>
      <w:r>
        <w:rPr>
          <w:b/>
        </w:rPr>
        <w:t xml:space="preserve">Ergebnis: </w:t>
      </w:r>
      <w:r>
        <w:t>Provider 3 erreichte höchste Gesamtscores (4,26/5), Provider 2 (4,00/5), Provider 1 (3,82/5); Korrektheit erzielte höchste Werte (4,21/5), Vollständigkeit niedrigste (3,81/5); Szenarios mit Dialekt zeigten niedrigere Scores (3,77/5); Zusammenfassungszeit 13,5 bis 22 Sekunden. Systeme funktionierten robust, aber mit Variationen bei herausfordernden Szenarien.</w:t>
      </w:r>
    </w:p>
    <w:p>
      <w:r>
        <w:rPr>
          <w:b/>
          <w:sz w:val="19"/>
        </w:rPr>
        <w:t xml:space="preserve">Übertragbarkeit: </w:t>
      </w:r>
      <w:r>
        <w:rPr>
          <w:sz w:val="19"/>
        </w:rPr>
        <w:t>Niederländische Klinikdaten in vergleichbarem europäischem Gesundheitssystem, Anforderungen an mehrsprachige Robustheit übertragbar.</w:t>
      </w:r>
    </w:p>
    <w:p>
      <w:r>
        <w:rPr>
          <w:color w:val="5A7D3A"/>
          <w:sz w:val="18"/>
        </w:rPr>
        <w:t>https://pubmed.ncbi.nlm.nih.gov/42887000/</w:t>
      </w:r>
    </w:p>
    <w:p>
      <w:pPr>
        <w:pStyle w:val="Heading2"/>
      </w:pPr>
      <w:r>
        <w:t>Digitale Harninkontinenz-App: Barrieren und Implementierungsstrategien in der Hausarztpraxis</w:t>
      </w:r>
    </w:p>
    <w:p>
      <w:r>
        <w:rPr>
          <w:i/>
          <w:color w:val="666666"/>
          <w:sz w:val="18"/>
        </w:rPr>
        <w:t>Lambooij AC et al.  ·  Fam Pract  ·  06.10.2026  ·  PMID 42885942</w:t>
      </w:r>
    </w:p>
    <w:p>
      <w:r>
        <w:t>Qualitative Befragung zur Identifikation von Barrieren für die Einführung einer evidenzbasierten Smartphone-App (URinControl) in niederländischen Hausarztpraxen und Apotheken.</w:t>
      </w:r>
    </w:p>
    <w:p>
      <w:r>
        <w:rPr>
          <w:b/>
        </w:rPr>
        <w:t xml:space="preserve">Ergebnis: </w:t>
      </w:r>
      <w:r>
        <w:t>174 Fachkräfte befragt; Hauptbarrieren: Zweifel am Mehrwert der App, unzureichende Kenntnisse über Inkontinenz und App, organisatorische Hürden, geringe digitale Patientenfähigkeiten; in Apotheken zusätzlich: begrenzte Möglichkeiten zur Inkontinenzberatung und Finanzierungssorgen. Fünf tailored Implementierungsstrategien entwickelt.</w:t>
      </w:r>
    </w:p>
    <w:p>
      <w:r>
        <w:rPr>
          <w:b/>
          <w:sz w:val="19"/>
        </w:rPr>
        <w:t xml:space="preserve">Übertragbarkeit: </w:t>
      </w:r>
      <w:r>
        <w:rPr>
          <w:sz w:val="19"/>
        </w:rPr>
        <w:t>Niederländische Primärversorgung, vergleichbare Versicherungsstrukturen und Dokumentationspflichten wie Deutschland.</w:t>
      </w:r>
    </w:p>
    <w:p>
      <w:r>
        <w:rPr>
          <w:color w:val="5A7D3A"/>
          <w:sz w:val="18"/>
        </w:rPr>
        <w:t>https://pubmed.ncbi.nlm.nih.gov/42885942/</w:t>
      </w:r>
    </w:p>
    <w:p>
      <w:pPr>
        <w:pStyle w:val="Heading2"/>
      </w:pPr>
      <w:r>
        <w:t>KI-gestützte Wundgrößenmessung per Telemedizin: Genauigkeit und Arztvergleich</w:t>
      </w:r>
    </w:p>
    <w:p>
      <w:r>
        <w:rPr>
          <w:i/>
          <w:color w:val="666666"/>
          <w:sz w:val="18"/>
        </w:rPr>
        <w:t>Dege T et al.  ·  Int Wound J  ·  Okt. 2026  ·  PMID 42885306</w:t>
      </w:r>
    </w:p>
    <w:p>
      <w:r>
        <w:t>Prospektive Validierungsstudie von zwei Deep-Learning-Segmentierungsmodellen für automatische Wundgrößenmessung aus Fotografien im Vergleich zu ärztlichen Schätzungen und In-Person-Referenzmessungen.</w:t>
      </w:r>
    </w:p>
    <w:p>
      <w:r>
        <w:rPr>
          <w:b/>
        </w:rPr>
        <w:t xml:space="preserve">Ergebnis: </w:t>
      </w:r>
      <w:r>
        <w:t>TransNeXt: ICC Höhe 0,96 (MAE 0,82 cm), Breite ICC 0,86 (MAE 0,69 cm, Bias −0,42 cm); VW-Conv: Höhe ICC 0,95 (MAE 0,68 cm), Breite ICC 0,77 (MAE 0,74 cm). KI konsistenter als einzelne Ärzte, comparable mit Expertenkonsen, nicht überlegen. TransNeXt zeigte stabilere Pixel-Performance (Dice 0,886).</w:t>
      </w:r>
    </w:p>
    <w:p>
      <w:r>
        <w:rPr>
          <w:b/>
          <w:sz w:val="19"/>
        </w:rPr>
        <w:t xml:space="preserve">Übertragbarkeit: </w:t>
      </w:r>
      <w:r>
        <w:rPr>
          <w:sz w:val="19"/>
        </w:rPr>
        <w:t>Deutsche Einzelzentrum-Validierung erforderlich; Konzept für Telemedizin-Wundmonitoring übertragbar.</w:t>
      </w:r>
    </w:p>
    <w:p>
      <w:r>
        <w:rPr>
          <w:color w:val="5A7D3A"/>
          <w:sz w:val="18"/>
        </w:rPr>
        <w:t>https://pubmed.ncbi.nlm.nih.gov/42885306/</w:t>
      </w:r>
    </w:p>
    <w:p>
      <w:pPr>
        <w:pStyle w:val="Heading2"/>
      </w:pPr>
      <w:r>
        <w:t>Machine-Learning-Kostenprognose bei pulmonaler arterieller Hypertonie: Feasibility-Studie</w:t>
      </w:r>
    </w:p>
    <w:p>
      <w:r>
        <w:rPr>
          <w:i/>
          <w:color w:val="666666"/>
          <w:sz w:val="18"/>
        </w:rPr>
        <w:t>Kramer M et al.  ·  JMIR Med Inform  ·  15.10.2026  ·  PMID 42879777</w:t>
      </w:r>
    </w:p>
    <w:p>
      <w:r>
        <w:t>Retrospektive Machbarkeitsstudie zur Kombination von Vorhersage der WHO-Funktionsklasse mit Schätzung der Gesundheitskosten bei PAH-Patienten mittels sechs Machine-Learning-Algorithmen.</w:t>
      </w:r>
    </w:p>
    <w:p>
      <w:r>
        <w:rPr>
          <w:b/>
        </w:rPr>
        <w:t xml:space="preserve">Ergebnis: </w:t>
      </w:r>
      <w:r>
        <w:t>181 PAH-Patienten; beste Performance k-nearest neighbors (r=0,40, R²=0,16), gefolgt LASSO (r=0,30, R²=0,09); geschätzte Durchschnittskosten 12.481–12.614 USD/Patient/Monat; trotz verbesserter Funktionsklasse über 12 Monate Kosten stabil. Moderate Vorhersageleistung, aber Machbarkeit der Kostenintegration demonstriert.</w:t>
      </w:r>
    </w:p>
    <w:p>
      <w:r>
        <w:rPr>
          <w:b/>
          <w:sz w:val="19"/>
        </w:rPr>
        <w:t xml:space="preserve">Übertragbarkeit: </w:t>
      </w:r>
      <w:r>
        <w:rPr>
          <w:sz w:val="19"/>
        </w:rPr>
        <w:t>Deutsche Daten notwendig; Konzept der systemischen Kostenmodellierung für Policy relevant.</w:t>
      </w:r>
    </w:p>
    <w:p>
      <w:r>
        <w:rPr>
          <w:color w:val="5A7D3A"/>
          <w:sz w:val="18"/>
        </w:rPr>
        <w:t>https://pubmed.ncbi.nlm.nih.gov/42879777/</w:t>
      </w:r>
    </w:p>
    <w:p>
      <w:pPr>
        <w:pStyle w:val="Heading2"/>
      </w:pPr>
      <w:r>
        <w:t>Komorbidität und Ungleichheit: Langzeit-Pfade psychischer und körperlicher Erkrankungen</w:t>
      </w:r>
    </w:p>
    <w:p>
      <w:r>
        <w:rPr>
          <w:i/>
          <w:color w:val="666666"/>
          <w:sz w:val="18"/>
        </w:rPr>
        <w:t>Nguyen T et al.  ·  PLoS One  ·  15.10.2026  ·  PMID 42879447</w:t>
      </w:r>
    </w:p>
    <w:p>
      <w:r>
        <w:t>Multistate-Modellierung von 858.789 schottischen Patienten aus 21 Jahren EHR-Daten zur Analyse von Übergängen in Multimorbidität nach Alter, Geschlecht und sozioökonomischem Status.</w:t>
      </w:r>
    </w:p>
    <w:p>
      <w:r>
        <w:rPr>
          <w:b/>
        </w:rPr>
        <w:t xml:space="preserve">Ergebnis: </w:t>
      </w:r>
      <w:r>
        <w:t>Psychische Erkrankungen (schwer, stationär) zeigten starken Einfluss auf Early-Onset-Multimorbidität, besonders bei jungen Männern und sozioökonomisch benachteiligten Gruppen. Strukturelle Determinanten und integrierte psychisch-somatische Versorgung identifiziert als kritisch.</w:t>
      </w:r>
    </w:p>
    <w:p>
      <w:r>
        <w:rPr>
          <w:b/>
          <w:sz w:val="19"/>
        </w:rPr>
        <w:t xml:space="preserve">Übertragbarkeit: </w:t>
      </w:r>
      <w:r>
        <w:rPr>
          <w:sz w:val="19"/>
        </w:rPr>
        <w:t>Britische Daten, ähnliche Sozialversicherungsstruktur; Befunde zur Health Equity in Deutschland anwendbar.</w:t>
      </w:r>
    </w:p>
    <w:p>
      <w:r>
        <w:rPr>
          <w:color w:val="5A7D3A"/>
          <w:sz w:val="18"/>
        </w:rPr>
        <w:t>https://pubmed.ncbi.nlm.nih.gov/42879447/</w:t>
      </w:r>
    </w:p>
    <w:p>
      <w:pPr>
        <w:pStyle w:val="Heading2"/>
      </w:pPr>
      <w:r>
        <w:t>Machine Learning für Sturz-Früherkennung: Test im Alltag älterer Menschen</w:t>
      </w:r>
    </w:p>
    <w:p>
      <w:r>
        <w:rPr>
          <w:i/>
          <w:color w:val="666666"/>
          <w:sz w:val="18"/>
        </w:rPr>
        <w:t>Schmidt NM et al.  ·  Geriatr Gerontol Int  ·  Okt. 2026  ·  PMID 42878241</w:t>
      </w:r>
    </w:p>
    <w:p>
      <w:r>
        <w:t>Prospektive Validierungsstudie eines vortrainierten Convolutional-Neural-Network auf beschleunigungsmesser-Daten zur Erkennung von Gangstörungen und Sturzrisiko im täglichen Leben.</w:t>
      </w:r>
    </w:p>
    <w:p>
      <w:r>
        <w:rPr>
          <w:b/>
        </w:rPr>
        <w:t xml:space="preserve">Ergebnis: </w:t>
      </w:r>
      <w:r>
        <w:t>202 Teilnehmer (Median 75 Jahre); 58% aller Trittfenster klassifiziert als Gangstörung; höheres Alter, niedrigere Kogni­tion/Funktion, Sturzangst und Frailty assoziiert mit mehr klassifizierten Perturbationen. Algorithmus klassifizierte jedoch viele Fenster als Gangunregelmäßigkeiten (misclassifications), erfordert weitere Training/Validierung.</w:t>
      </w:r>
    </w:p>
    <w:p>
      <w:r>
        <w:rPr>
          <w:b/>
          <w:sz w:val="19"/>
        </w:rPr>
        <w:t xml:space="preserve">Übertragbarkeit: </w:t>
      </w:r>
      <w:r>
        <w:rPr>
          <w:sz w:val="19"/>
        </w:rPr>
        <w:t>Deutsche Notfallabteilungs-Population möglich; Altersdemographie und Fall-Epidemiologie ähnlich.</w:t>
      </w:r>
    </w:p>
    <w:p>
      <w:r>
        <w:rPr>
          <w:color w:val="5A7D3A"/>
          <w:sz w:val="18"/>
        </w:rPr>
        <w:t>https://pubmed.ncbi.nlm.nih.gov/42878241/</w:t>
      </w:r>
    </w:p>
    <w:p>
      <w:pPr>
        <w:pStyle w:val="Heading1"/>
      </w:pPr>
      <w:r>
        <w:t>Aufgenommen am 16.10.2026</w:t>
      </w:r>
    </w:p>
    <w:p>
      <w:pPr>
        <w:pStyle w:val="Heading2"/>
      </w:pPr>
      <w:r>
        <w:t>LLM mit Retrieval-Augmented Generation für Prüfung von Einwilligungserklärungen</w:t>
      </w:r>
    </w:p>
    <w:p>
      <w:r>
        <w:rPr>
          <w:i/>
          <w:color w:val="666666"/>
          <w:sz w:val="18"/>
        </w:rPr>
        <w:t>Amugongo LM et al.  ·  JMIR Med Inform  ·  15.10.2026  ·  PMID 42879775</w:t>
      </w:r>
    </w:p>
    <w:p>
      <w:r>
        <w:t>Evaluation von GPT-4.1 mit Retrieval-Augmented Generation (RAG) zur automatisierten Analyse von Data-Reuse-Klauseln in 438 klinischen Einwilligungserklärungen aus mehreren Ländern und Sprachen.</w:t>
      </w:r>
    </w:p>
    <w:p>
      <w:r>
        <w:rPr>
          <w:b/>
        </w:rPr>
        <w:t xml:space="preserve">Ergebnis: </w:t>
      </w:r>
      <w:r>
        <w:t>Anfängliche Genauigkeit 81,6%; nach drei iterativen Optimierungsrunden auf 92,1% gesteigert (104 Test-Dokumente). Baseline-Genauigkeit in Validierungsphase 84,0%. System extrahierte Data-Reuse-Information zuverlässig über mehrere Sprachen hinweg.</w:t>
      </w:r>
    </w:p>
    <w:p>
      <w:r>
        <w:rPr>
          <w:b/>
          <w:sz w:val="19"/>
        </w:rPr>
        <w:t xml:space="preserve">Übertragbarkeit: </w:t>
      </w:r>
      <w:r>
        <w:rPr>
          <w:sz w:val="19"/>
        </w:rPr>
        <w:t>Boehringer-Ingelheim-Daten, deutschsprachig; relevant für GDPR-Compliance und internationale Datennutzung in klinischen Studien</w:t>
      </w:r>
    </w:p>
    <w:p>
      <w:r>
        <w:rPr>
          <w:color w:val="5A7D3A"/>
          <w:sz w:val="18"/>
        </w:rPr>
        <w:t>https://pubmed.ncbi.nlm.nih.gov/42879775/</w:t>
      </w:r>
    </w:p>
    <w:p>
      <w:pPr>
        <w:pStyle w:val="Heading2"/>
      </w:pPr>
      <w:r>
        <w:t>Akzeptanz von Videosprechstunden in China: Trend über COVID-19-Pandemie hinweg</w:t>
      </w:r>
    </w:p>
    <w:p>
      <w:r>
        <w:rPr>
          <w:i/>
          <w:color w:val="666666"/>
          <w:sz w:val="18"/>
        </w:rPr>
        <w:t>Chen K et al.  ·  J Med Internet Res  ·  15.10.2026  ·  PMID 42879773</w:t>
      </w:r>
    </w:p>
    <w:p>
      <w:r>
        <w:t>Wiederholte Querschnittsumfrage bei n=340–1373 Krankenhauspatienten in Zhejiang 2021–2024 zur Willingness-to-Use (WTU) virtueller Besuche über den Übergang von Eindämmung zu Routinemanagement.</w:t>
      </w:r>
    </w:p>
    <w:p>
      <w:r>
        <w:rPr>
          <w:b/>
        </w:rPr>
        <w:t xml:space="preserve">Ergebnis: </w:t>
      </w:r>
      <w:r>
        <w:t>WTU bei 70,9% (2021), 71,4% (2022), 62,3% (2023), 75,4% (2024). College-Ausbildung und Internetnutzung konsistent mit höherer WTU in allen vier Jahren. Alter, Einkommen und Selbstbewertung der Gesundheit variierten in der Assoziation über Jahre hinweg.</w:t>
      </w:r>
    </w:p>
    <w:p>
      <w:r>
        <w:rPr>
          <w:b/>
          <w:sz w:val="19"/>
        </w:rPr>
        <w:t xml:space="preserve">Übertragbarkeit: </w:t>
      </w:r>
      <w:r>
        <w:rPr>
          <w:sz w:val="19"/>
        </w:rPr>
        <w:t>China, wirtschaftlich und digital entwickelte Region; zeigt persistente Akzeptanz, aber differenzierte Determinanten—begrenzt übertragbar auf Deutschland ohne Kontext</w:t>
      </w:r>
    </w:p>
    <w:p>
      <w:r>
        <w:rPr>
          <w:color w:val="5A7D3A"/>
          <w:sz w:val="18"/>
        </w:rPr>
        <w:t>https://pubmed.ncbi.nlm.nih.gov/42879773/</w:t>
      </w:r>
    </w:p>
    <w:p>
      <w:pPr>
        <w:pStyle w:val="Heading2"/>
      </w:pPr>
      <w:r>
        <w:t>Entscheidungsunterstützung für Muskelskelettkrankeiten: Wirkung auf Versorgungsqualität in Hausarztpraxen</w:t>
      </w:r>
    </w:p>
    <w:p>
      <w:r>
        <w:rPr>
          <w:i/>
          <w:color w:val="666666"/>
          <w:sz w:val="18"/>
        </w:rPr>
        <w:t>Hill J et al.  ·  J Med Internet Res  ·  15.10.2026  ·  PMID 42879770</w:t>
      </w:r>
    </w:p>
    <w:p>
      <w:r>
        <w:t>Randomisierte Studie zur Wirkung eines web-basierten Clinical Decision Support Systems (CDSS) auf die Behandlungsqualität bei Muskelskelettkrankeiten in UK-Hausarztpraxen, verglichen mit Standardversorgung.</w:t>
      </w:r>
    </w:p>
    <w:p>
      <w:r>
        <w:rPr>
          <w:b/>
        </w:rPr>
        <w:t xml:space="preserve">Ergebnis: </w:t>
      </w:r>
      <w:r>
        <w:t>Wenn das CDSS genutzt wurde (8,6% der Fälle), sank die Rate suboptimaler Behandlung von 25% auf 3% (adjustierte OR 12,30; 95%-KI 2,52–59,9; p=0,002). Es erhöhte Selbstmanagement und Gemeindereferrals, reduzierte Verschreibungen. Sicherheitsbedenken bei 6,6% der Nutzungen ohne high-risk-Probleme. Gesamteinbindung begrenzt; Einsparungen auf 10% Annual Cost geschätzt.</w:t>
      </w:r>
    </w:p>
    <w:p>
      <w:r>
        <w:rPr>
          <w:b/>
          <w:sz w:val="19"/>
        </w:rPr>
        <w:t xml:space="preserve">Übertragbarkeit: </w:t>
      </w:r>
      <w:r>
        <w:rPr>
          <w:sz w:val="19"/>
        </w:rPr>
        <w:t>UK-Primärversorgung; vergleichbare Anforderungen wie deutsches Hausarztmodell, aber niedrigere tatsächliche Nutzungsrate deutet auf Integrationshürden hin</w:t>
      </w:r>
    </w:p>
    <w:p>
      <w:r>
        <w:rPr>
          <w:color w:val="5A7D3A"/>
          <w:sz w:val="18"/>
        </w:rPr>
        <w:t>https://pubmed.ncbi.nlm.nih.gov/42879770/</w:t>
      </w:r>
    </w:p>
    <w:p>
      <w:pPr>
        <w:pStyle w:val="Heading2"/>
      </w:pPr>
      <w:r>
        <w:t>KI-gestützte Telerehabilitation gegen Nackensteife: Nichtunterlegenheits-RCT</w:t>
      </w:r>
    </w:p>
    <w:p>
      <w:r>
        <w:rPr>
          <w:i/>
          <w:color w:val="666666"/>
          <w:sz w:val="18"/>
        </w:rPr>
        <w:t>Zhao Y et al.  ·  JMIR Form Res  ·  15.10.2026  ·  PMID 42879432</w:t>
      </w:r>
    </w:p>
    <w:p>
      <w:r>
        <w:t>Randomisierte Nichtunterlegenheits-Studie an zwei Zentren (Peking Union Medical College Hospital, Beijing Jishuitan Hospital) mit 116 Patienten zu KI-gestützter Home-Rehabilitation vs. Standardtherapie bei chronischen Nackenschmerzen.</w:t>
      </w:r>
    </w:p>
    <w:p>
      <w:r>
        <w:rPr>
          <w:b/>
        </w:rPr>
        <w:t xml:space="preserve">Ergebnis: </w:t>
      </w:r>
      <w:r>
        <w:t>Telerehabilitation nicht unterlegen (NDI-Unterschied Woche 24: −2,5 Punkte; 95%-KI −6,2 bis 1,2; p=0,15; Obergrenze &lt;5 Punkte). Beide Gruppen zeigten klinisch bedeutsame Verbesserungen in Schmerz, Lebensqualität und Bewegungsumfang. Keine Intervention-bedingten Schäden.</w:t>
      </w:r>
    </w:p>
    <w:p>
      <w:r>
        <w:rPr>
          <w:b/>
          <w:sz w:val="19"/>
        </w:rPr>
        <w:t xml:space="preserve">Übertragbarkeit: </w:t>
      </w:r>
      <w:r>
        <w:rPr>
          <w:sz w:val="19"/>
        </w:rPr>
        <w:t>China; verifiziert KI-Bewegungserkennung für Ferntherapie, aber Übertragbarkeit auf deutsche Versorgung abhängig von Zulassung und Kostenübernahme</w:t>
      </w:r>
    </w:p>
    <w:p>
      <w:r>
        <w:rPr>
          <w:color w:val="5A7D3A"/>
          <w:sz w:val="18"/>
        </w:rPr>
        <w:t>https://pubmed.ncbi.nlm.nih.gov/42879432/</w:t>
      </w:r>
    </w:p>
    <w:p>
      <w:pPr>
        <w:pStyle w:val="Heading2"/>
      </w:pPr>
      <w:r>
        <w:t>Wie Studienautoren Outcomes für Digital-Therapeutics-Trials auswählen: qualitative Analyse</w:t>
      </w:r>
    </w:p>
    <w:p>
      <w:r>
        <w:rPr>
          <w:i/>
          <w:color w:val="666666"/>
          <w:sz w:val="18"/>
        </w:rPr>
        <w:t>Mahlmann J et al.  ·  JMIR Form Res  ·  15.10.2026  ·  PMID 42878726</w:t>
      </w:r>
    </w:p>
    <w:p>
      <w:r>
        <w:t>Qualitative Studie mit 19 semistrukturierten Interviews mit Experten zur Methodik der Outcome-Auswahl in Digital-Therapeutics-Studien, durchgeführt August–November 2024.</w:t>
      </w:r>
    </w:p>
    <w:p>
      <w:r>
        <w:rPr>
          <w:b/>
        </w:rPr>
        <w:t xml:space="preserve">Ergebnis: </w:t>
      </w:r>
      <w:r>
        <w:t>Outcome-Auswahl basierte primär auf Forschungsstand, persönlicher Erfahrung und praktischer Machbarkeit. Fast alle Interviewten sahen standardisierte Core Outcome Sets (COS) als geeignet für bessere Vergleichbarkeit zwischen DTx-Studien an, identifizierten aber auch kritische Perspektiven zur Anwendung.</w:t>
      </w:r>
    </w:p>
    <w:p>
      <w:r>
        <w:rPr>
          <w:b/>
          <w:sz w:val="19"/>
        </w:rPr>
        <w:t xml:space="preserve">Übertragbarkeit: </w:t>
      </w:r>
      <w:r>
        <w:rPr>
          <w:sz w:val="19"/>
        </w:rPr>
        <w:t>Witten/Herdecke und Fraunhofer ISST Deutschland; adressiert das Evidenzproblem regulatorisch relevanter Nutzenbewertung</w:t>
      </w:r>
    </w:p>
    <w:p>
      <w:r>
        <w:rPr>
          <w:color w:val="5A7D3A"/>
          <w:sz w:val="18"/>
        </w:rPr>
        <w:t>https://pubmed.ncbi.nlm.nih.gov/42878726/</w:t>
      </w:r>
    </w:p>
    <w:p>
      <w:pPr>
        <w:pStyle w:val="Heading2"/>
      </w:pPr>
      <w:r>
        <w:t>Telemedizinische Pharmazie-Konsilien für Polypharmazie in der Hausarztpraxis: qualitative Studie</w:t>
      </w:r>
    </w:p>
    <w:p>
      <w:r>
        <w:rPr>
          <w:i/>
          <w:color w:val="666666"/>
          <w:sz w:val="18"/>
        </w:rPr>
        <w:t>Henriksen DP  ·  Basic Clin Pharmacol Toxicol  ·  Nov. 2026  ·  PMID 42877986</w:t>
      </w:r>
    </w:p>
    <w:p>
      <w:r>
        <w:t>Qualitative Studie mit sieben dänischen Hausärzten zur Nutzung einer videgestützten telemedizinischen Pharmakologie-Sprechstunde (TPOC) zur Medikationsprüfung und Koordination.</w:t>
      </w:r>
    </w:p>
    <w:p>
      <w:r>
        <w:rPr>
          <w:b/>
        </w:rPr>
        <w:t xml:space="preserve">Ergebnis: </w:t>
      </w:r>
      <w:r>
        <w:t>Hausärzte berichteten Reduktion der mentalen Workload, bessere Unterstützung bei Deprescribing und Transfer von Apothekerwissen auf nicht-überwiesene Patienten. Weitverbreitung hemmt fehlende Integration in Praxissoftware sowie Awareness und Zeitdruck—nicht Zweifel am Service.</w:t>
      </w:r>
    </w:p>
    <w:p>
      <w:r>
        <w:rPr>
          <w:b/>
          <w:sz w:val="19"/>
        </w:rPr>
        <w:t xml:space="preserve">Übertragbarkeit: </w:t>
      </w:r>
      <w:r>
        <w:rPr>
          <w:sz w:val="19"/>
        </w:rPr>
        <w:t>Dänemark, südlicher Landesteil; vergleichbares Versicherungssystem, zeigt Implementierungshürden für sektorübergreifende Digitallösungen</w:t>
      </w:r>
    </w:p>
    <w:p>
      <w:r>
        <w:rPr>
          <w:color w:val="5A7D3A"/>
          <w:sz w:val="18"/>
        </w:rPr>
        <w:t>https://pubmed.ncbi.nlm.nih.gov/42877986/</w:t>
      </w:r>
    </w:p>
    <w:p>
      <w:pPr>
        <w:pStyle w:val="Heading1"/>
      </w:pPr>
      <w:r>
        <w:t>Aufgenommen am 15.10.2026</w:t>
      </w:r>
    </w:p>
    <w:p>
      <w:pPr>
        <w:pStyle w:val="Heading2"/>
      </w:pPr>
      <w:r>
        <w:t>KI-gestützte Lungenknotendiagnose: Durchsatzsteigerung und frühzeitige Krebserkennung in drei US-Kliniken</w:t>
      </w:r>
    </w:p>
    <w:p>
      <w:r>
        <w:rPr>
          <w:i/>
          <w:color w:val="666666"/>
          <w:sz w:val="18"/>
        </w:rPr>
        <w:t>Lee KA et al.  ·  PLoS One  ·  14.10.2026  ·  PMID 42873759</w:t>
      </w:r>
    </w:p>
    <w:p>
      <w:r>
        <w:t>Vor-nach-Vergleich der Implementierung kommerzieller KI-Software zur Unterstützung der Lungenknotenverwaltung in drei US-Lungenzentren; Outcome war Patientendurchsatz und Krebsidentifikation.</w:t>
      </w:r>
    </w:p>
    <w:p>
      <w:r>
        <w:rPr>
          <w:b/>
        </w:rPr>
        <w:t xml:space="preserve">Ergebnis: </w:t>
      </w:r>
      <w:r>
        <w:t>Monatliche neue Patienten stiegen von 11,0 auf 18,6 pro Monat (p=0,0002); Patienten mit mindestens einer invasiven Prozedur von 4,9 auf 8,0 monatlich (p=0,0085). Monatliche Krebsfälle erhöhten sich von 3,0 auf 3,8 (p=0,3242), Frühstadium-Krebsfälle von 1,4 auf 2,4 (p=0,125). Die Zeitspanne zur Diagnose blieb ähnlich (58 vs. 57 Tage), die Streuung verringerte sich deutlich (IQR 125 auf 58 Tage).</w:t>
      </w:r>
    </w:p>
    <w:p>
      <w:r>
        <w:rPr>
          <w:b/>
          <w:sz w:val="19"/>
        </w:rPr>
        <w:t xml:space="preserve">Übertragbarkeit: </w:t>
      </w:r>
      <w:r>
        <w:rPr>
          <w:sz w:val="19"/>
        </w:rPr>
        <w:t>USA-Studie; Effekt auf Workflow und Zugang ist übertragbar, Produktverfügbarkeit unklar</w:t>
      </w:r>
    </w:p>
    <w:p>
      <w:r>
        <w:rPr>
          <w:color w:val="5A7D3A"/>
          <w:sz w:val="18"/>
        </w:rPr>
        <w:t>https://pubmed.ncbi.nlm.nih.gov/42873759/</w:t>
      </w:r>
    </w:p>
    <w:p>
      <w:pPr>
        <w:pStyle w:val="Heading2"/>
      </w:pPr>
      <w:r>
        <w:t>KI versus Kardiologen bei Okklusion-Myokardinfarkt: ECG-Diagnose in Notfällen</w:t>
      </w:r>
    </w:p>
    <w:p>
      <w:r>
        <w:rPr>
          <w:i/>
          <w:color w:val="666666"/>
          <w:sz w:val="18"/>
        </w:rPr>
        <w:t>Zimmerli A et al.  ·  JMIR Cardio  ·  14.10.2026  ·  PMID 42873564</w:t>
      </w:r>
    </w:p>
    <w:p>
      <w:r>
        <w:t>Retrospektiver Vergleich der diagnostischen Leistung einer KI-App (PMCardio) mit Interventionskardiologern bei 33 herausfordernd diagnostizierten ECGs in der Notaufnahme; Goldstandard war Koronarangiographie (≥90% Stenose).</w:t>
      </w:r>
    </w:p>
    <w:p>
      <w:r>
        <w:rPr>
          <w:b/>
        </w:rPr>
        <w:t xml:space="preserve">Ergebnis: </w:t>
      </w:r>
      <w:r>
        <w:t>KI erreichte Sensitivität 100 %, Spezifität 60 %, NPV 100 %, PPV 62 %, Fehlerquote 24 %; drei Kardiologen zeigten Sensitivitäten von 62–85 %, Spezifitäten von 50–70 %, NPVs von 69–83 %, Fehlerquoten von 33–42 %. KI identifizierte alle Okklusions-Myokardnfarkte korrekt, während einzelne Ärzte 15–38 % übersahen.</w:t>
      </w:r>
    </w:p>
    <w:p>
      <w:r>
        <w:rPr>
          <w:b/>
          <w:sz w:val="19"/>
        </w:rPr>
        <w:t xml:space="preserve">Übertragbarkeit: </w:t>
      </w:r>
      <w:r>
        <w:rPr>
          <w:sz w:val="19"/>
        </w:rPr>
        <w:t>Schweiz (Lausanne), europäisches Setting, Notfalldiagnose übertragbar</w:t>
      </w:r>
    </w:p>
    <w:p>
      <w:r>
        <w:rPr>
          <w:color w:val="5A7D3A"/>
          <w:sz w:val="18"/>
        </w:rPr>
        <w:t>https://pubmed.ncbi.nlm.nih.gov/42873564/</w:t>
      </w:r>
    </w:p>
    <w:p>
      <w:pPr>
        <w:pStyle w:val="Heading2"/>
      </w:pPr>
      <w:r>
        <w:t>Smartphone-Video für Ganganalyse und Sturzrisiko bei Parkinson: Deep Learning in der Klinik</w:t>
      </w:r>
    </w:p>
    <w:p>
      <w:r>
        <w:rPr>
          <w:i/>
          <w:color w:val="666666"/>
          <w:sz w:val="18"/>
        </w:rPr>
        <w:t>Chu SL et al.  ·  Front Neurol  ·  29.09.2026  ·  PMID 42872140</w:t>
      </w:r>
    </w:p>
    <w:p>
      <w:r>
        <w:t>Querschnittstudie zur Entwicklung und Validierung eines Smartphone-Video-basierten Gangbewertungssystems mit Deep Learning (MoviNet) für Morbus-Parkinson-Screening, funktionelle Einstufung (Schwab-England-Skala) und Sturzrisikiklassifizierung; 40 Teilnehmer mit milder bis moderater PD und Kontrollen.</w:t>
      </w:r>
    </w:p>
    <w:p>
      <w:r>
        <w:rPr>
          <w:b/>
        </w:rPr>
        <w:t xml:space="preserve">Ergebnis: </w:t>
      </w:r>
      <w:r>
        <w:t>Für PD-Screening: Genauigkeit 95,7 %, Sensitivität 96,6 %, Spezifität 92,2 %, AUC 0,994. Für S&amp;E-ADL-Funktionseinstufung: Gesamtgenauigkeit 88,5 % über drei Kategorien. Für Sturzrisikiklassifizierung: Genauigkeit 91,1 %, Sensitivität 68,4 %, Spezifität 98,3 %, AUC 0,909. Robuste Leistung über alle drei Aufgaben hinweg mit unabhängiger Test-Datenpartitionierung.</w:t>
      </w:r>
    </w:p>
    <w:p>
      <w:r>
        <w:rPr>
          <w:b/>
          <w:sz w:val="19"/>
        </w:rPr>
        <w:t xml:space="preserve">Übertragbarkeit: </w:t>
      </w:r>
      <w:r>
        <w:rPr>
          <w:sz w:val="19"/>
        </w:rPr>
        <w:t>Taiwan; technisch übertragbar auf deutschsprachige Systeme, weitere Validierung nötig</w:t>
      </w:r>
    </w:p>
    <w:p>
      <w:r>
        <w:rPr>
          <w:color w:val="5A7D3A"/>
          <w:sz w:val="18"/>
        </w:rPr>
        <w:t>https://pubmed.ncbi.nlm.nih.gov/42872140/</w:t>
      </w:r>
    </w:p>
    <w:p>
      <w:pPr>
        <w:pStyle w:val="Heading2"/>
      </w:pPr>
      <w:r>
        <w:t>KI-gesteuerte dezentralisierte CAR-T-Zellproduktion im Krankenhaus: Kosteneffektivität für multiples Myelom</w:t>
      </w:r>
    </w:p>
    <w:p>
      <w:r>
        <w:rPr>
          <w:i/>
          <w:color w:val="666666"/>
          <w:sz w:val="18"/>
        </w:rPr>
        <w:t>Boot IWA et al.  ·  JMIR Cancer  ·  13.10.2026  ·  PMID 42868529</w:t>
      </w:r>
    </w:p>
    <w:p>
      <w:r>
        <w:t>Frühe Gesundheitstechnologiebewertung der AIDPATH-Plattform (KI-gestützte dezentralisierte Produktion) gegen zentrale CAR-T-Herstellung und Standard-of-Care für multiples Myelom aus deutscher Krankenhäuser-Perspektive; Zeithorizont 40 Jahre.</w:t>
      </w:r>
    </w:p>
    <w:p>
      <w:r>
        <w:rPr>
          <w:b/>
        </w:rPr>
        <w:t xml:space="preserve">Ergebnis: </w:t>
      </w:r>
      <w:r>
        <w:t>AIDPATH war dominant gegenüber cilta-cel und Standard-of-Care. Die Kosteneffektivität wurde hauptsächlich durch Akquisitionskosten und unerwünschte Ereignisse bestimmt. Sensitivitätsanalysen zeigten Stabilität; Szenarioanalysen unterstützten die Kosteneffektivität auch unter reduzierten Nebenwirkungsannahmen und verkürzten Vein-zu-Vein-Zeiten.</w:t>
      </w:r>
    </w:p>
    <w:p>
      <w:r>
        <w:rPr>
          <w:b/>
          <w:sz w:val="19"/>
        </w:rPr>
        <w:t xml:space="preserve">Übertragbarkeit: </w:t>
      </w:r>
      <w:r>
        <w:rPr>
          <w:sz w:val="19"/>
        </w:rPr>
        <w:t>Deutsche Kliniken, Krankenhäuser-Perspektive, vergleichbar mit deutschem System</w:t>
      </w:r>
    </w:p>
    <w:p>
      <w:r>
        <w:rPr>
          <w:color w:val="5A7D3A"/>
          <w:sz w:val="18"/>
        </w:rPr>
        <w:t>https://pubmed.ncbi.nlm.nih.gov/42868529/</w:t>
      </w:r>
    </w:p>
    <w:p>
      <w:pPr>
        <w:pStyle w:val="Heading2"/>
      </w:pPr>
      <w:r>
        <w:t>Smartphone-App für Pharmakovigilanz nach COVID-19-Impfung: SafeVac2.0 mit 732.864 Teilnehmern</w:t>
      </w:r>
    </w:p>
    <w:p>
      <w:r>
        <w:rPr>
          <w:i/>
          <w:color w:val="666666"/>
          <w:sz w:val="18"/>
        </w:rPr>
        <w:t>Kopp L et al.  ·  Vaccine  ·  14.11.2026  ·  PMID 42843285</w:t>
      </w:r>
    </w:p>
    <w:p>
      <w:r>
        <w:t>Prospektive, nicht-interventionelle, bevölkerungsbasierte Kohortenstudie zur Erfassung selbstberichteter Nebenwirkungen von COVID-19-Impfstoffen via Smartphone-App von Dezember 2020 bis September 2022; Erfassung bis 3 Wochen nach erster, 8 Wochen nach zweiter und 7 Tage nach Booster-Dosis.</w:t>
      </w:r>
    </w:p>
    <w:p>
      <w:r>
        <w:rPr>
          <w:b/>
        </w:rPr>
        <w:t xml:space="preserve">Ergebnis: </w:t>
      </w:r>
      <w:r>
        <w:t>732.864 Personen dokumentierten 1.436.039 Impfungen; 68 % berichteten mindestens eine Nebenwirkung, insgesamt 4.007.149 Nebenwirkungen dokumentiert. 88 % waren lokale oder systemische Reaktogenität. Medizinische Versorgung wurde in 0,36 % der Impfungen benötigt. Alter, Geschlecht, Impfstoff und Dosis waren potenzielle Vorhersagefaktoren für Nebenwirkungen.</w:t>
      </w:r>
    </w:p>
    <w:p>
      <w:r>
        <w:rPr>
          <w:b/>
          <w:sz w:val="19"/>
        </w:rPr>
        <w:t xml:space="preserve">Übertragbarkeit: </w:t>
      </w:r>
      <w:r>
        <w:rPr>
          <w:sz w:val="19"/>
        </w:rPr>
        <w:t>Deutschland (Paul-Ehrlich-Institut), deutsche Daten, vollständig übertragbar</w:t>
      </w:r>
    </w:p>
    <w:p>
      <w:r>
        <w:rPr>
          <w:color w:val="5A7D3A"/>
          <w:sz w:val="18"/>
        </w:rPr>
        <w:t>https://pubmed.ncbi.nlm.nih.gov/42843285/</w:t>
      </w:r>
    </w:p>
    <w:p>
      <w:pPr>
        <w:pStyle w:val="Heading2"/>
      </w:pPr>
      <w:r>
        <w:t>Codierung weiblicher Genitalverstümmelung im französischen Krankenhausdatensystem PMSI: Harmonisierung und Finanzierungszugang</w:t>
      </w:r>
    </w:p>
    <w:p>
      <w:r>
        <w:rPr>
          <w:i/>
          <w:color w:val="666666"/>
          <w:sz w:val="18"/>
        </w:rPr>
        <w:t>Hascoet D et al.  ·  Sante Publique  ·  2026  ·  PMID 42838917</w:t>
      </w:r>
    </w:p>
    <w:p>
      <w:r>
        <w:t>Gemischte Methoden-Studie zur Analyse von Kodierungspraktiken für weibliche Genitalverstümmelung (FGM) in französischen Krankenhäusern; qualitative Interviews mit Spezialisten und explorative Befragung medizinischer Informationsabteilungen (DIM).</w:t>
      </w:r>
    </w:p>
    <w:p>
      <w:r>
        <w:rPr>
          <w:b/>
        </w:rPr>
        <w:t xml:space="preserve">Ergebnis: </w:t>
      </w:r>
      <w:r>
        <w:t>Alle befragten Abteilungen verwendeten ICD-10-Code N90.8 für FGM als Hauptdiagnose; Praktiken variierten jedoch erheblich bei assoziierten Diagnosen und chirurgischen Verfahren. Mangelnde Harmonisierung und begrenzte Kenntnis spezifischer Finanzierungsmechanismen (MIGAC, MERRI) beschränkten den Zugang zu zweckgebundener Unterstützung. Die Studie fordert spezifischere Kodierung und bessere Datenstrukturierung zur Verbesserung der Versorgungsqualität.</w:t>
      </w:r>
    </w:p>
    <w:p>
      <w:r>
        <w:rPr>
          <w:b/>
          <w:sz w:val="19"/>
        </w:rPr>
        <w:t xml:space="preserve">Übertragbarkeit: </w:t>
      </w:r>
      <w:r>
        <w:rPr>
          <w:sz w:val="19"/>
        </w:rPr>
        <w:t>Frankreich; vergleichbares Sozialversicherungssystem, Dokumentations- und Finanzierungslogik</w:t>
      </w:r>
    </w:p>
    <w:p>
      <w:r>
        <w:rPr>
          <w:color w:val="5A7D3A"/>
          <w:sz w:val="18"/>
        </w:rPr>
        <w:t>https://pubmed.ncbi.nlm.nih.gov/42838917/</w:t>
      </w:r>
    </w:p>
    <w:p>
      <w:pPr>
        <w:pStyle w:val="Heading1"/>
      </w:pPr>
      <w:r>
        <w:t>Aufgenommen am 14.10.2026</w:t>
      </w:r>
    </w:p>
    <w:p>
      <w:pPr>
        <w:pStyle w:val="Heading2"/>
      </w:pPr>
      <w:r>
        <w:t>KI-Wellness-App abgeschaltet: 26% der Nutzer finden keine Alternative, 27% weichen zu generalistischen LLMs aus</w:t>
      </w:r>
    </w:p>
    <w:p>
      <w:r>
        <w:rPr>
          <w:i/>
          <w:color w:val="666666"/>
          <w:sz w:val="18"/>
        </w:rPr>
        <w:t>Stamatis CA et al.  ·  JMIR Med Inform  ·  13.10.2026  ·  PMID 42869425</w:t>
      </w:r>
    </w:p>
    <w:p>
      <w:r>
        <w:t>Umfrage von 364 britischen Nutzern einer speziell für psychische Gesundheit entwickelten KI-App erfasste, wo sie nach Marktrückzug Support suchten – und was das für die Versorgung bedeutet.</w:t>
      </w:r>
    </w:p>
    <w:p>
      <w:r>
        <w:rPr>
          <w:b/>
        </w:rPr>
        <w:t xml:space="preserve">Ergebnis: </w:t>
      </w:r>
      <w:r>
        <w:t>Nach Wegfall der Purpose-Built-App wandten sich 27,1% hauptsächlich generalistischen KI-Tools zu, 26% suchten gar keine Unterstützung mehr. Nur 4,9% ersetzten die App durch NHS-Dienste, 8,1% durch private Therapeuten. 60,2% berichteten schlechtere Versorgungszugänge; bei denjenigen, die keine Alternative suchten, stieg dieser Anteil auf 80,7%.</w:t>
      </w:r>
    </w:p>
    <w:p>
      <w:r>
        <w:rPr>
          <w:b/>
          <w:sz w:val="19"/>
        </w:rPr>
        <w:t xml:space="preserve">Übertragbarkeit: </w:t>
      </w:r>
      <w:r>
        <w:rPr>
          <w:sz w:val="19"/>
        </w:rPr>
        <w:t>Großbritannien; zeigt Versorgungslücken bei Rückzug von DiGA im deutschsprachigen Raum</w:t>
      </w:r>
    </w:p>
    <w:p>
      <w:r>
        <w:rPr>
          <w:color w:val="5A7D3A"/>
          <w:sz w:val="18"/>
        </w:rPr>
        <w:t>https://pubmed.ncbi.nlm.nih.gov/42869425/</w:t>
      </w:r>
    </w:p>
    <w:p>
      <w:pPr>
        <w:pStyle w:val="Heading2"/>
      </w:pPr>
      <w:r>
        <w:t>EHR-integrierte Entscheidungsunterstuetzung erhöht Antibiotika-Leitlinientreue um 202%</w:t>
      </w:r>
    </w:p>
    <w:p>
      <w:r>
        <w:rPr>
          <w:i/>
          <w:color w:val="666666"/>
          <w:sz w:val="18"/>
        </w:rPr>
        <w:t>Hatab HA et al.  ·  Appl Clin Inform  ·  13.10.2026  ·  PMID 42869095</w:t>
      </w:r>
    </w:p>
    <w:p>
      <w:r>
        <w:t>Qualitätsverbesserungsstudie testete eine Multikomponenten-Intervention (EHR-integrierte klinische Entscheidungsunterstuetzung, Ärzteschulung, Prescribing Analytics, Audit-Feedback) zur Verbesserung der empirischen Antibiotikawahl bei pädiatrischen Harnwegsinfektionen.</w:t>
      </w:r>
    </w:p>
    <w:p>
      <w:r>
        <w:rPr>
          <w:b/>
        </w:rPr>
        <w:t xml:space="preserve">Ergebnis: </w:t>
      </w:r>
      <w:r>
        <w:t>Leitliniengerechte Verordnungen der Erstlinien-Therapie stiegen von 13,9% auf 41,9% in 12 Monaten (n=3.312 Fälle); gleichzeitig sank die Nutzung breiterer Cephalosporine. Der Anstieg folgte zeitlich der CDS-Implementierung und Verbreitungslisten-Publikation.</w:t>
      </w:r>
    </w:p>
    <w:p>
      <w:r>
        <w:rPr>
          <w:b/>
          <w:sz w:val="19"/>
        </w:rPr>
        <w:t xml:space="preserve">Übertragbarkeit: </w:t>
      </w:r>
      <w:r>
        <w:rPr>
          <w:sz w:val="19"/>
        </w:rPr>
        <w:t>USA (akademisches Zentrum), Mechanismus übertragbar auf deutsches Versorgungssystem</w:t>
      </w:r>
    </w:p>
    <w:p>
      <w:r>
        <w:rPr>
          <w:color w:val="5A7D3A"/>
          <w:sz w:val="18"/>
        </w:rPr>
        <w:t>https://pubmed.ncbi.nlm.nih.gov/42869095/</w:t>
      </w:r>
    </w:p>
    <w:p>
      <w:pPr>
        <w:pStyle w:val="Heading2"/>
      </w:pPr>
      <w:r>
        <w:t>LLM mit Trauma-Wissen reduziert manuelle Codierung von Verletzungsschweregrad</w:t>
      </w:r>
    </w:p>
    <w:p>
      <w:r>
        <w:rPr>
          <w:i/>
          <w:color w:val="666666"/>
          <w:sz w:val="18"/>
        </w:rPr>
        <w:t>Lin YJ et al.  ·  JMIR Med Inform  ·  13.10.2026  ·  PMID 42868526</w:t>
      </w:r>
    </w:p>
    <w:p>
      <w:r>
        <w:t>Studie testete, ob Large Language Models mit domänenspezifischem Wissen (Abbreviated Injury Scale) automatisch den Injury Severity Score aus Arztbriefen berechnen können – mit Ziel, die arbeitsintensive manuelle Traumakodierung zu ersetzen.</w:t>
      </w:r>
    </w:p>
    <w:p>
      <w:r>
        <w:rPr>
          <w:b/>
        </w:rPr>
        <w:t xml:space="preserve">Ergebnis: </w:t>
      </w:r>
      <w:r>
        <w:t>GPT-4.1 mit domänenspezifischem Retriever erreichte 75,3% genaue Vorhersage des ISS (95%-KI 66,1–82,7 %), verglichen mit 70,0% eines deterministischen Kodiertools. Besonders bei schweren Verletzungen verbessert sich die Genauigkeit substanziell; der Ansatz könnte Kodieraufwand reduzieren und Datenqualität verbessern.</w:t>
      </w:r>
    </w:p>
    <w:p>
      <w:r>
        <w:rPr>
          <w:b/>
          <w:sz w:val="19"/>
        </w:rPr>
        <w:t xml:space="preserve">Übertragbarkeit: </w:t>
      </w:r>
      <w:r>
        <w:rPr>
          <w:sz w:val="19"/>
        </w:rPr>
        <w:t>Taiwan, vergleichbare Dokumentationspraxis in Traumaregistern</w:t>
      </w:r>
    </w:p>
    <w:p>
      <w:r>
        <w:rPr>
          <w:color w:val="5A7D3A"/>
          <w:sz w:val="18"/>
        </w:rPr>
        <w:t>https://pubmed.ncbi.nlm.nih.gov/42868526/</w:t>
      </w:r>
    </w:p>
    <w:p>
      <w:pPr>
        <w:pStyle w:val="Heading2"/>
      </w:pPr>
      <w:r>
        <w:t>Ambient-AI-Dokumentation in der Chirurgie: 77,5% berichten bessere Effizienz, 72,5% mehr Genauigkeit</w:t>
      </w:r>
    </w:p>
    <w:p>
      <w:r>
        <w:rPr>
          <w:i/>
          <w:color w:val="666666"/>
          <w:sz w:val="18"/>
        </w:rPr>
        <w:t>Luo S et al.  ·  JMIR Med Inform  ·  13.10.2026  ·  PMID 42868240</w:t>
      </w:r>
    </w:p>
    <w:p>
      <w:r>
        <w:t>Befragung von 105 Chirurgen 3 Monate nach Implementierung von Dragon Ambient Experience (DAX) Copilot – einer KI-gestützten Echtzeit-Dokumentationslösung, die Arzt-Patient-Gespräche automatisch verschriftlicht.</w:t>
      </w:r>
    </w:p>
    <w:p>
      <w:r>
        <w:rPr>
          <w:b/>
        </w:rPr>
        <w:t xml:space="preserve">Ergebnis: </w:t>
      </w:r>
      <w:r>
        <w:t>77,5% (31/40 aktiver Nutzer) berichteten Verbesserung der wahrgenommenen Dokumentationseffizienz; 72,5% (29/40) berichteten bessere Genauigkeit, Detail und Konsistenz. 70,4% sahen Verbesserung der Dokumentationsaktualität. Nur 59,0% berichteten Besserung der Burnout-Symptome. Qualitative Rückmeldungen hoben Qualitätsgewinne hervor, zeigten aber auch Grenzen (EHR-Integration, Kompatibilität).</w:t>
      </w:r>
    </w:p>
    <w:p>
      <w:r>
        <w:rPr>
          <w:b/>
          <w:sz w:val="19"/>
        </w:rPr>
        <w:t xml:space="preserve">Übertragbarkeit: </w:t>
      </w:r>
      <w:r>
        <w:rPr>
          <w:sz w:val="19"/>
        </w:rPr>
        <w:t>USA (Vanderbilt), aber Dokumentationslast ist international Problem</w:t>
      </w:r>
    </w:p>
    <w:p>
      <w:r>
        <w:rPr>
          <w:color w:val="5A7D3A"/>
          <w:sz w:val="18"/>
        </w:rPr>
        <w:t>https://pubmed.ncbi.nlm.nih.gov/42868240/</w:t>
      </w:r>
    </w:p>
    <w:p>
      <w:pPr>
        <w:pStyle w:val="Heading2"/>
      </w:pPr>
      <w:r>
        <w:t>App für Suizidprävention in der Notaufnahme: Clinicians wollen nutzen, System-Barrieren blockieren Einsatz</w:t>
      </w:r>
    </w:p>
    <w:p>
      <w:r>
        <w:rPr>
          <w:i/>
          <w:color w:val="666666"/>
          <w:sz w:val="18"/>
        </w:rPr>
        <w:t>Shin HD et al.  ·  PLoS One  ·  13.10.2026  ·  PMID 42868152</w:t>
      </w:r>
    </w:p>
    <w:p>
      <w:r>
        <w:t>Qualitative Studie mit 29 Notaufnahme-Mitarbeitern in Toronto zur Identifikation von Barrieren und Facilitatoren für die Nutzung einer App zur strukturierten Sicherheitsplanung bei Suizidrisiko – Analyse mit Theoretical Domains Framework und COM-B-Modell.</w:t>
      </w:r>
    </w:p>
    <w:p>
      <w:r>
        <w:rPr>
          <w:b/>
        </w:rPr>
        <w:t xml:space="preserve">Ergebnis: </w:t>
      </w:r>
      <w:r>
        <w:t>Starke intrinsische Motivation aller Disziplinen (Pflege, Psychiater, Sozialarbeiter) für die App-Nutzung und Einstufung von Sicherheitsplanung als hochpriorisierte Intervention. Zentrale Barrieren: fehlende Interoperabilität mit EHR, Dokumentationsinfrastruktur unvorbereitet, Bedenken bezüglich Patientenzugang zu Smartphones, Workflows nicht adaptiert. Facilitatoren: lokale Champions, externe Validierung der Tool-Effektivität.</w:t>
      </w:r>
    </w:p>
    <w:p>
      <w:r>
        <w:rPr>
          <w:b/>
          <w:sz w:val="19"/>
        </w:rPr>
        <w:t xml:space="preserve">Übertragbarkeit: </w:t>
      </w:r>
      <w:r>
        <w:rPr>
          <w:sz w:val="19"/>
        </w:rPr>
        <w:t>Kanada (Ontario); Interoperabilitätsanforderungen gelten auch für Deutschland</w:t>
      </w:r>
    </w:p>
    <w:p>
      <w:r>
        <w:rPr>
          <w:color w:val="5A7D3A"/>
          <w:sz w:val="18"/>
        </w:rPr>
        <w:t>https://pubmed.ncbi.nlm.nih.gov/42868152/</w:t>
      </w:r>
    </w:p>
    <w:p>
      <w:pPr>
        <w:pStyle w:val="Heading2"/>
      </w:pPr>
      <w:r>
        <w:t>Telemedizin in schwerer Epilepsie: Eltern schätzen Logistik, aber nicht klinische Äquivalenz</w:t>
      </w:r>
    </w:p>
    <w:p>
      <w:r>
        <w:rPr>
          <w:i/>
          <w:color w:val="666666"/>
          <w:sz w:val="18"/>
        </w:rPr>
        <w:t>Giorgi S et al.  ·  Front Neurol  ·  28.09.2026  ·  PMID 42865351</w:t>
      </w:r>
    </w:p>
    <w:p>
      <w:r>
        <w:t>Befragung von 95 Eltern spanischer Patienten mit Entwicklungs- und epileptischen Enzephalopathien zu Erfahrungen und Akzeptanz von Telemedizin (überwiegend Telefon/Email, kaum Videosprechstunde).</w:t>
      </w:r>
    </w:p>
    <w:p>
      <w:r>
        <w:rPr>
          <w:b/>
        </w:rPr>
        <w:t xml:space="preserve">Ergebnis: </w:t>
      </w:r>
      <w:r>
        <w:t>Zufriedenheit mit Telemedizin (Mittelwert 3,2/5) war deutlich niedriger als mit persönlichen Besuchen (4,6/5; t=-7,96, p&lt;0,001). Logistische Vorteile (Zeitersparnis, weniger Reisen) wurden hochwertig bewertet (77% zufrieden), aber der wahrgenommene klinische Nutzen war niedrig. Über 50% bevorzugten Rehabilitationstherapien persönlich; 24% beklagten Fehlen physikalischer Untersuchung.</w:t>
      </w:r>
    </w:p>
    <w:p>
      <w:r>
        <w:rPr>
          <w:b/>
          <w:sz w:val="19"/>
        </w:rPr>
        <w:t xml:space="preserve">Übertragbarkeit: </w:t>
      </w:r>
      <w:r>
        <w:rPr>
          <w:sz w:val="19"/>
        </w:rPr>
        <w:t>Spanien; Evidenz limitiert durch Fehlen echter Videosprechstunde im Sample</w:t>
      </w:r>
    </w:p>
    <w:p>
      <w:r>
        <w:rPr>
          <w:color w:val="5A7D3A"/>
          <w:sz w:val="18"/>
        </w:rPr>
        <w:t>https://pubmed.ncbi.nlm.nih.gov/42865351/</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2026-10-26T06:00:00Z</dcterms:created>
  <dcterms:modified xsi:type="dcterms:W3CDTF">2026-10-26T06:00:00Z</dcterms:modified>
  <cp:category/>
</cp:coreProperties>
</file>