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11.10.2026  |  6 Studien  |  ki.m-vf.de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eHealth-Literalität bei Krebspatienten in Norwegen: Messbarkeit und Einflussfaktoren</w:t>
      </w:r>
    </w:p>
    <w:p>
      <w:r>
        <w:rPr>
          <w:i/>
          <w:color w:val="666666"/>
          <w:sz w:val="18"/>
        </w:rPr>
        <w:t>Kongshaug N et al.  ·  JCO Clin Cancer Inform  ·  09.10.2026  ·  PMID 42854113</w:t>
      </w:r>
    </w:p>
    <w:p>
      <w:r>
        <w:t>Querschnittsstudie zur Bewertung der digitalen Gesundheitskompetenz von 248 Onkologiepatienten unter laufender oder kürzlich abgeschlossener Chemotherapie mittels eHealth Literacy Questionnaire.</w:t>
      </w:r>
    </w:p>
    <w:p>
      <w:r>
        <w:rPr>
          <w:b/>
        </w:rPr>
        <w:t xml:space="preserve">Ergebnis: </w:t>
      </w:r>
      <w:r>
        <w:t>eHealth Literacy Scores (7 Skalen): Mittelwerte 2,72–3,14 (SD 0,42–0,62); höchster Score bei Sicherheit/Kontrolle (3,14 ± 0,45); stärkster Prädiktor für niedrigere Literalität: höheres Alter; Geschlecht und Bildung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Estland deutlich digitaler; Befunde zeigen Potential, nicht unmittelbare Umsetzbarkeit</w:t>
      </w:r>
    </w:p>
    <w:p>
      <w:r>
        <w:rPr>
          <w:color w:val="5A7D3A"/>
          <w:sz w:val="18"/>
        </w:rPr>
        <w:t>https://pubmed.ncbi.nlm.nih.gov/42854113/</w:t>
      </w:r>
    </w:p>
    <w:p>
      <w:pPr>
        <w:pStyle w:val="Heading2"/>
      </w:pPr>
      <w:r>
        <w:t>AI-Spracherkennungsapp R-SPEAK für Menschen mit Aphasie: Akzeptanz und Usability</w:t>
      </w:r>
    </w:p>
    <w:p>
      <w:r>
        <w:rPr>
          <w:i/>
          <w:color w:val="666666"/>
          <w:sz w:val="18"/>
        </w:rPr>
        <w:t>Al-Tamimi AK et al.  ·  J Med Internet Res  ·  08.10.2026  ·  PMID 42853042</w:t>
      </w:r>
    </w:p>
    <w:p>
      <w:r>
        <w:t>Qualitative Coprodukts-Studie zur Entwicklung und Bewertung eines Large Language Model-gestützten Smartphone-Apps, das Menschen mit leichter bis mittelschwerer expressiver Aphasie bei der Kommunikation unterstützen soll.</w:t>
      </w:r>
    </w:p>
    <w:p>
      <w:r>
        <w:rPr>
          <w:b/>
        </w:rPr>
        <w:t xml:space="preserve">Ergebnis: </w:t>
      </w:r>
      <w:r>
        <w:t>System Usability Scale: Mittelwert 75 (SD 9,19), bewertet als „gut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co-designed mit Menschen mit Aphasie, NHS-Settings</w:t>
      </w:r>
    </w:p>
    <w:p>
      <w:r>
        <w:rPr>
          <w:color w:val="5A7D3A"/>
          <w:sz w:val="18"/>
        </w:rPr>
        <w:t>https://pubmed.ncbi.nlm.nih.gov/42853042/</w:t>
      </w:r>
    </w:p>
    <w:p>
      <w:pPr>
        <w:pStyle w:val="Heading2"/>
      </w:pPr>
      <w:r>
        <w:t>Mobile Applikation zur Lupus-Selbstmanagement: Anforderungsanalyse und Usability</w:t>
      </w:r>
    </w:p>
    <w:p>
      <w:r>
        <w:rPr>
          <w:i/>
          <w:color w:val="666666"/>
          <w:sz w:val="18"/>
        </w:rPr>
        <w:t>Moulaei K et al.  ·  J Int Med Res  ·  09.10.2026  ·  PMID 42852649</w:t>
      </w:r>
    </w:p>
    <w:p>
      <w:r>
        <w:t>Systematische Anforderungsanalyse mit 12 Patienten und 6 Rheumatologen, gefolgt von Prototypentwicklung und Bewertung durch 8 Patienten über 1 Woche.</w:t>
      </w:r>
    </w:p>
    <w:p>
      <w:r>
        <w:rPr>
          <w:b/>
        </w:rPr>
        <w:t xml:space="preserve">Ergebnis: </w:t>
      </w:r>
      <w:r>
        <w:t>Von 70 Anforderungen erfüllten 61 (87 %) das Einschlusskriterium (≥75 %); Usability-Rating durch Patienten: Mittelwert 7,5 von 9; vier Funktionsbereiche: Benutzerprofil, Lebensstil, Krankheitsmanagement, App-Features.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Patientenbeteiligung und bedarfsorientiertes Design, längerfristige Validierung ausstehend</w:t>
      </w:r>
    </w:p>
    <w:p>
      <w:r>
        <w:rPr>
          <w:color w:val="5A7D3A"/>
          <w:sz w:val="18"/>
        </w:rPr>
        <w:t>https://pubmed.ncbi.nlm.nih.gov/42852649/</w:t>
      </w:r>
    </w:p>
    <w:p>
      <w:pPr>
        <w:pStyle w:val="Heading2"/>
      </w:pPr>
      <w:r>
        <w:t>Cross-border Gesundheitsdaten-Sharing: Rechtliche und ethische Herausforderungen in Europa</w:t>
      </w:r>
    </w:p>
    <w:p>
      <w:r>
        <w:rPr>
          <w:i/>
          <w:color w:val="666666"/>
          <w:sz w:val="18"/>
        </w:rPr>
        <w:t>Liu J et al.  ·  Health Policy  ·  18.09.2026  ·  PMID 42800264</w:t>
      </w:r>
    </w:p>
    <w:p>
      <w:r>
        <w:t>Normative Policy-Analyse des ICUData4EU-Programms zur Bewertung von Struktur, Governance und rechtlichen Auswirkungen föderierter Intensivmedizin-Daten unter GDPR und European Health Data Space.</w:t>
      </w:r>
    </w:p>
    <w:p>
      <w:r>
        <w:rPr>
          <w:b/>
        </w:rPr>
        <w:t xml:space="preserve">Ergebnis: </w:t>
      </w:r>
      <w:r>
        <w:t>ICUData4EU ermöglicht Datenanalyse in lokalen Krankenhausmilieus mit Fernzugriff auf aggregierte Ergebnisse (föderiertes Modell); Analyse zeigt Potenzial für Forschung, aber noch offene rechtliche und ethische Herausforderungen bezüglich GDPR-, EHDS-Compliance und ungleiche Datenschutzrisiken zwischen Ländern.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EU-Regulierungsrahmen; Deutschland und Partnerländer; praktisches Beispiel für EHDS-Umsetzung</w:t>
      </w:r>
    </w:p>
    <w:p>
      <w:r>
        <w:rPr>
          <w:color w:val="5A7D3A"/>
          <w:sz w:val="18"/>
        </w:rPr>
        <w:t>https://pubmed.ncbi.nlm.nih.gov/42800264/</w:t>
      </w:r>
    </w:p>
    <w:p>
      <w:pPr>
        <w:pStyle w:val="Heading2"/>
      </w:pPr>
      <w:r>
        <w:t>Blutdrucksenker in hypertensiven Schwangerschaften: Target Trial Emulation mit niederländischen EHR-Daten</w:t>
      </w:r>
    </w:p>
    <w:p>
      <w:r>
        <w:rPr>
          <w:i/>
          <w:color w:val="666666"/>
          <w:sz w:val="18"/>
        </w:rPr>
        <w:t>Hup RJ et al.  ·  BMJ Open  ·  22.09.2026  ·  PMID 42772874</w:t>
      </w:r>
    </w:p>
    <w:p>
      <w:r>
        <w:t>Protokoll für observationale Studie zur Vergleichung von Methyldopa, Labetalol und Nifedipin in hypertensiven Schwangerschaften mittels elektronischer Patientendaten aus vier universitären und zwei kommunalen Krankenhäusern (2006–2025).</w:t>
      </w:r>
    </w:p>
    <w:p>
      <w:r>
        <w:rPr>
          <w:b/>
        </w:rPr>
        <w:t xml:space="preserve">Ergebnis: </w:t>
      </w:r>
      <w:r>
        <w:t>Studienprotokoll; geplant: Weighted multivariable mixed-effects Regressionsmodelle für primäre Outcomes (schwere Hypertonie, small for gestational age &lt;3. Perzentile) und sekundäre Outcomes (Präeklampsie, Nierenschaden, Intensivstationsaufnahme, perinatale Mortalität); Ethik genehmigt.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Niederlande; vergleichbares Gesundheitssystem und Dokumentationspflichten, pragmatisches RCT-Emulations-Design</w:t>
      </w:r>
    </w:p>
    <w:p>
      <w:r>
        <w:rPr>
          <w:color w:val="5A7D3A"/>
          <w:sz w:val="18"/>
        </w:rPr>
        <w:t>https://pubmed.ncbi.nlm.nih.gov/42772874/</w:t>
      </w:r>
    </w:p>
    <w:p>
      <w:pPr>
        <w:pStyle w:val="Heading2"/>
      </w:pPr>
      <w:r>
        <w:t>Ethische Analyse von KI in der Organtransplantation: Framework für Verantwortlichkeit</w:t>
      </w:r>
    </w:p>
    <w:p>
      <w:r>
        <w:rPr>
          <w:i/>
          <w:color w:val="666666"/>
          <w:sz w:val="18"/>
        </w:rPr>
        <w:t>Primc N  ·  Transpl Int  ·  04.09.2026  ·  PMID 42761011</w:t>
      </w:r>
    </w:p>
    <w:p>
      <w:r>
        <w:t>Qualitative normative Analyse zur systematischen Abbildung von KI-Einsatzbereichen in der Transplantationsprozess und deren ethische Implikationen für Spender, Empfänger und Öffentlichkeit.</w:t>
      </w:r>
    </w:p>
    <w:p>
      <w:r>
        <w:rPr>
          <w:b/>
        </w:rPr>
        <w:t xml:space="preserve">Ergebnis: </w:t>
      </w:r>
      <w:r>
        <w:t>Framework beschreibt stakeholder-spezifische ethische Verpflichtungen über Transplantationsphasen: Donorenidentifikation (patientenzentriert), Allokation (Verteilungsgerechtigkeit), perioperative Phase (professionelle Verantwortung); AI-assisted organ allocation als Beispielfall analysiert.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Österreich; theoretischer Rahmen für europäische Transplantationspraxis und Regulierung</w:t>
      </w:r>
    </w:p>
    <w:p>
      <w:r>
        <w:rPr>
          <w:color w:val="5A7D3A"/>
          <w:sz w:val="18"/>
        </w:rPr>
        <w:t>https://pubmed.ncbi.nlm.nih.gov/42761011/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