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drawing>
          <wp:inline xmlns:a="http://schemas.openxmlformats.org/drawingml/2006/main" xmlns:pic="http://schemas.openxmlformats.org/drawingml/2006/picture">
            <wp:extent cx="1737360" cy="45964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vf-log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737360" cy="4596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color w:val="0051A1"/>
          <w:sz w:val="19"/>
        </w:rPr>
        <w:t>Ein Service des Knowledge-Hubs von Monitor Versorgungsforschung. Täglich automatisiert KI-kuratiert aus PubMed und auf Deutsch übersetzt.</w:t>
      </w:r>
    </w:p>
    <w:p>
      <w:pPr>
        <w:pStyle w:val="Title"/>
      </w:pPr>
      <w:r>
        <w:t>Neueste Studien - Digitalisierung, KI und Gesundheit</w:t>
      </w:r>
    </w:p>
    <w:p>
      <w:r>
        <w:rPr>
          <w:i/>
          <w:color w:val="666666"/>
          <w:sz w:val="18"/>
        </w:rPr>
        <w:t>Stand: 15.09.2026  |  3 Studien  |  ki.m-vf.de</w:t>
      </w:r>
    </w:p>
    <w:p>
      <w:pPr>
        <w:pStyle w:val="Heading1"/>
      </w:pPr>
      <w:r>
        <w:t>Aufgenommen am 15.09.2026</w:t>
      </w:r>
    </w:p>
    <w:p>
      <w:pPr>
        <w:pStyle w:val="Heading2"/>
      </w:pPr>
      <w:r>
        <w:t>LLM-basierte Anonymisierung klinischer Textdaten: Quantenoptimierung zeigt bessere Genauigkeit</w:t>
      </w:r>
    </w:p>
    <w:p>
      <w:r>
        <w:rPr>
          <w:i/>
          <w:color w:val="666666"/>
          <w:sz w:val="18"/>
        </w:rPr>
        <w:t>Rahmeh S et al.  ·  J Med Internet Res  ·  14.09.2026  ·  PMID 42735382</w:t>
      </w:r>
    </w:p>
    <w:p>
      <w:r>
        <w:t>Vergleichende Evaluierung von Large Language Models und quantenverbesserten hybriden Architekturen zur De-Identifikation von 1000 portugiesischen klinischen Notizen mit manueller Annotation von 500 Testfällen.</w:t>
      </w:r>
    </w:p>
    <w:p>
      <w:r>
        <w:rPr>
          <w:b/>
        </w:rPr>
        <w:t xml:space="preserve">Ergebnis: </w:t>
      </w:r>
      <w:r>
        <w:t>Dynex-QML-70B erreichte F1-Score von 0,855 (95%-KI 0,823-0,880), übertraf Llama-3.3-70B mit 0,726 (KI 0,704-0,747) signifikant (p&lt;0,001) und war schneller (7,97 vs. 8,52 Sekunden pro Note, p&lt;0,001).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Portugal, vergleichbare Datenschutzanforderungen wie DSGVO in Deutschland.</w:t>
      </w:r>
    </w:p>
    <w:p>
      <w:r>
        <w:rPr>
          <w:color w:val="5A7D3A"/>
          <w:sz w:val="18"/>
        </w:rPr>
        <w:t>https://pubmed.ncbi.nlm.nih.gov/42735382/</w:t>
      </w:r>
    </w:p>
    <w:p>
      <w:pPr>
        <w:pStyle w:val="Heading2"/>
      </w:pPr>
      <w:r>
        <w:t>Machine Learning zur Vorhersage von kultur-bestätigter neonataler Sepsis im Intensivbereich</w:t>
      </w:r>
    </w:p>
    <w:p>
      <w:r>
        <w:rPr>
          <w:i/>
          <w:color w:val="666666"/>
          <w:sz w:val="18"/>
        </w:rPr>
        <w:t>Badran E et al.  ·  JMIR Med Inform  ·  14.09.2026  ·  PMID 42735002</w:t>
      </w:r>
    </w:p>
    <w:p>
      <w:r>
        <w:t>Retrospektive Kohortenstudie mit 3274 Neugeborenen (80% Training, 20% Test) aus Jordanien zur Evaluierung von XGBoost, Decision Trees und Neural Networks mit SMOTE-Übersampling zur Sepsis-Vorhersage.</w:t>
      </w:r>
    </w:p>
    <w:p>
      <w:r>
        <w:rPr>
          <w:b/>
        </w:rPr>
        <w:t xml:space="preserve">Ergebnis: </w:t>
      </w:r>
      <w:r>
        <w:t>XGBoost: Accuracy 94% (616/655 Vorhersagen, 95%-KI 92-96%), Sensitivität 98% (95/97 Fälle, KI 96-99%), AUC 0,98 (KI 0,97-0,99); wichtigste Prädiktoren: C-reaktives Protein, Thrombozytenzahl, Gestationsalter.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Jordanien (Tertiary NICU), vergleichbarer Ressourcenmangel wie LMIC-Kliniken, aber extern zu validieren.</w:t>
      </w:r>
    </w:p>
    <w:p>
      <w:r>
        <w:rPr>
          <w:color w:val="5A7D3A"/>
          <w:sz w:val="18"/>
        </w:rPr>
        <w:t>https://pubmed.ncbi.nlm.nih.gov/42735002/</w:t>
      </w:r>
    </w:p>
    <w:p>
      <w:pPr>
        <w:pStyle w:val="Heading2"/>
      </w:pPr>
      <w:r>
        <w:t>Deep Learning für automatische Axon-Segmentierung in Bielschowsky-Silberfärbung</w:t>
      </w:r>
    </w:p>
    <w:p>
      <w:r>
        <w:rPr>
          <w:i/>
          <w:color w:val="666666"/>
          <w:sz w:val="18"/>
        </w:rPr>
        <w:t>Schönenberger L et al.  ·  Neuroinformatics  ·  08.09.2026  ·  PMID 42709277</w:t>
      </w:r>
    </w:p>
    <w:p>
      <w:r>
        <w:t>Attention U-Net mit Focal-Tversky-Loss für automatisierte Axon-Quantifizierung in histologischen MS-Gehirnproben, trainiert auf 33 manuell annotierte Bildkacheln (25 Mio. Pixel) aus 26 Präparaten.</w:t>
      </w:r>
    </w:p>
    <w:p>
      <w:r>
        <w:rPr>
          <w:b/>
        </w:rPr>
        <w:t xml:space="preserve">Ergebnis: </w:t>
      </w:r>
      <w:r>
        <w:t>Auf Test-Set (8 nicht gesehene Kacheln): F1/Dice 0,717, IoU 0,584; Mensch-zu-Mensch F1 0,637-0,671, Modell-zu-Mensch F1 0,681-0,736 (Modell erreichte oder übertraf menschliche Decke); reduzierte manuelle Aufwand erheblich.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Schweiz (Basel), Multiple-Sklerose-Neuropathologie, Histopathologie-Anwendung.</w:t>
      </w:r>
    </w:p>
    <w:p>
      <w:r>
        <w:rPr>
          <w:color w:val="5A7D3A"/>
          <w:sz w:val="18"/>
        </w:rPr>
        <w:t>https://pubmed.ncbi.nlm.nih.gov/42709277/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Neueste Studien - Digitalisierung, KI und Gesundheit</dc:title>
  <dc:subject/>
  <dc:creator>Monitor Versorgungsforschung</dc:creator>
  <cp:keywords/>
  <dc:description>generated by python-docx</dc:description>
  <cp:lastModifiedBy/>
  <cp:revision>1</cp:revision>
  <dcterms:created xsi:type="dcterms:W3CDTF">2026-09-15T06:00:00Z</dcterms:created>
  <dcterms:modified xsi:type="dcterms:W3CDTF">2026-09-15T06:00:00Z</dcterms:modified>
  <cp:category/>
</cp:coreProperties>
</file>