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21.09.2026  |  6 Studien  |  ki.m-vf.de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Digitale Einladungen zur Darmkrebsfrüherkennung: Effekt auf Teilnahmequoten bei jungen Erwachsenen</w:t>
      </w:r>
    </w:p>
    <w:p>
      <w:r>
        <w:rPr>
          <w:i/>
          <w:color w:val="666666"/>
          <w:sz w:val="18"/>
        </w:rPr>
        <w:t>Klimeck L et al.  ·  BMJ Open  ·  18.09.2026  ·  PMID 42760086</w:t>
      </w:r>
    </w:p>
    <w:p>
      <w:r>
        <w:t>Randomisierte Studie an 90.000 Versicherten, die Effekt von postalischen versus digitalen Einladungen/Erinnerungen zur Inanspruchnahme von Darmkrebs-Screening untersucht.</w:t>
      </w:r>
    </w:p>
    <w:p>
      <w:r>
        <w:rPr>
          <w:b/>
        </w:rPr>
        <w:t xml:space="preserve">Ergebnis: </w:t>
      </w:r>
      <w:r>
        <w:t>Primärer Endpunkt und Effekte der Interventionsgruppe werden in diesem Protokoll nicht berichtet (laufende Studie); Planung zeigt jedoch große Datengrundlage und hohe Relevanz für Screening-Beteiligung.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Versichertendaten (BARMER), direkt übertragbar auf hiesige Screening-Strukturen</w:t>
      </w:r>
    </w:p>
    <w:p>
      <w:r>
        <w:rPr>
          <w:color w:val="5A7D3A"/>
          <w:sz w:val="18"/>
        </w:rPr>
        <w:t>https://pubmed.ncbi.nlm.nih.gov/42760086/</w:t>
      </w:r>
    </w:p>
    <w:p>
      <w:pPr>
        <w:pStyle w:val="Heading2"/>
      </w:pPr>
      <w:r>
        <w:t>LLM-gestützte Extraktion genetischer Eligibilitätskriterien aus klinischen Trials</w:t>
      </w:r>
    </w:p>
    <w:p>
      <w:r>
        <w:rPr>
          <w:i/>
          <w:color w:val="666666"/>
          <w:sz w:val="18"/>
        </w:rPr>
        <w:t>Mathes G et al.  ·  Stud Health Technol Inform  ·  17.09.2026  ·  PMID 42752480</w:t>
      </w:r>
    </w:p>
    <w:p>
      <w:r>
        <w:t>System zur automatisierten Strukturierung von Mutationsanforderungen aus unstrukturierten Einschlusskriterien von Klinical Trials mittels Large Language Models und HUGO-Validierung.</w:t>
      </w:r>
    </w:p>
    <w:p>
      <w:r>
        <w:rPr>
          <w:b/>
        </w:rPr>
        <w:t xml:space="preserve">Ergebnis: </w:t>
      </w:r>
      <w:r>
        <w:t>Bei 4.918 Studien: 1.010 Studien mit strukturierten Mutationskriterien annotiert; 88,1 % korrekt annotiert, Precision 0,80 bei Einzelkriterien; typische Fehler: halluzinierte Gene, Abkürzungsmisinterpretationen.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deutschsprachiger Raum – direkt nutzbar für Patientenmatching in Präzisionsonkologie</w:t>
      </w:r>
    </w:p>
    <w:p>
      <w:r>
        <w:rPr>
          <w:color w:val="5A7D3A"/>
          <w:sz w:val="18"/>
        </w:rPr>
        <w:t>https://pubmed.ncbi.nlm.nih.gov/42752480/</w:t>
      </w:r>
    </w:p>
    <w:p>
      <w:pPr>
        <w:pStyle w:val="Heading2"/>
      </w:pPr>
      <w:r>
        <w:t>Large Language Models zur Vereinfachung klinischer Notizen für Patientenverständlichkeit</w:t>
      </w:r>
    </w:p>
    <w:p>
      <w:r>
        <w:rPr>
          <w:i/>
          <w:color w:val="666666"/>
          <w:sz w:val="18"/>
        </w:rPr>
        <w:t>Teichmann M et al.  ·  Stud Health Technol Inform  ·  17.09.2026  ·  PMID 42752479</w:t>
      </w:r>
    </w:p>
    <w:p>
      <w:r>
        <w:t>Zehn frei verfügbare LLMs bewertet zur Vereinfachung deutscher Kliniktexte; Auswertung mit etablierten Lesbarkeitsindizes und neuer Analyse von Fachbegriff-/Abkürzungsdichte.</w:t>
      </w:r>
    </w:p>
    <w:p>
      <w:r>
        <w:rPr>
          <w:b/>
        </w:rPr>
        <w:t xml:space="preserve">Ergebnis: </w:t>
      </w:r>
      <w:r>
        <w:t>Alle LLMs erhöhten Textlänge, reduzierten konsistent Fachbegriff- und Abkürzungsdichte; Mistral, ChatGPT, Copilot zeigten beste Balance; keine konsistente Verbesserung über alle Lesbarkeitsindizia; konventionelle Metriken für medizinische Texte unzureichend.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Kliniktexte, bundesweit anwendbar – Patientenrechtegesetz verlangt Zugang zu Akten</w:t>
      </w:r>
    </w:p>
    <w:p>
      <w:r>
        <w:rPr>
          <w:color w:val="5A7D3A"/>
          <w:sz w:val="18"/>
        </w:rPr>
        <w:t>https://pubmed.ncbi.nlm.nih.gov/42752479/</w:t>
      </w:r>
    </w:p>
    <w:p>
      <w:pPr>
        <w:pStyle w:val="Heading2"/>
      </w:pPr>
      <w:r>
        <w:t>Medizinische Konzeptnormalisierung: Hybrid-Retrieval übertrifft reines LLM-Mapping zu SNOMED CT</w:t>
      </w:r>
    </w:p>
    <w:p>
      <w:r>
        <w:rPr>
          <w:i/>
          <w:color w:val="666666"/>
          <w:sz w:val="18"/>
        </w:rPr>
        <w:t>Adam H et al.  ·  Stud Health Technol Inform  ·  17.09.2026  ·  PMID 42752477</w:t>
      </w:r>
    </w:p>
    <w:p>
      <w:r>
        <w:t>Vergleich von LLM-direkter Normalisierung versus Hybrid-Ansatz (Domain-Embeddings + RAG-Reranking) für Mapping deutscher Kliniktexte zu SNOMED CT.</w:t>
      </w:r>
    </w:p>
    <w:p>
      <w:r>
        <w:rPr>
          <w:b/>
        </w:rPr>
        <w:t xml:space="preserve">Ergebnis: </w:t>
      </w:r>
      <w:r>
        <w:t>LLM-Baseline: Recall@1 0,235; Hybrid-Embeddings: Recall@1 0,681; mit RAG-Reranking: Recall@1 0,771, Recall@3/5 je 0,809/0,812 – erheblicher Vorteil kombinierter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deutschsprachiger Raum – etabliert Grundlage für interoperable Dokumentation</w:t>
      </w:r>
    </w:p>
    <w:p>
      <w:r>
        <w:rPr>
          <w:color w:val="5A7D3A"/>
          <w:sz w:val="18"/>
        </w:rPr>
        <w:t>https://pubmed.ncbi.nlm.nih.gov/42752477/</w:t>
      </w:r>
    </w:p>
    <w:p>
      <w:pPr>
        <w:pStyle w:val="Heading2"/>
      </w:pPr>
      <w:r>
        <w:t>FHIR-Integration von Patient-Reported Outcomes in Klinikroutine: Interoperabilität und Semantik</w:t>
      </w:r>
    </w:p>
    <w:p>
      <w:r>
        <w:rPr>
          <w:i/>
          <w:color w:val="666666"/>
          <w:sz w:val="18"/>
        </w:rPr>
        <w:t>Warnecke Y et al.  ·  Stud Health Technol Inform  ·  17.09.2026  ·  PMID 42752467</w:t>
      </w:r>
    </w:p>
    <w:p>
      <w:r>
        <w:t>Technische Evaluierung eines FHIR-Systems für Mobile Patient Survey (MoPat) zur Integration von Patientenfragebogen in die MII PRO core-Datenstruktur.</w:t>
      </w:r>
    </w:p>
    <w:p>
      <w:r>
        <w:rPr>
          <w:b/>
        </w:rPr>
        <w:t xml:space="preserve">Ergebnis: </w:t>
      </w:r>
      <w:r>
        <w:t>Fragebogenimport gelang fehlerfrei, führte aber zu Verlust von Score-Berechnungslogik und Code-System-Definitionen; Kernproblem: Spannung zwischen Datenerfassungssoftware und Forschungsstruktur mit fehlender semantischer Annotation.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MII-Infrastruktur – zentral für federierten Gesundheitsdatenraum</w:t>
      </w:r>
    </w:p>
    <w:p>
      <w:r>
        <w:rPr>
          <w:color w:val="5A7D3A"/>
          <w:sz w:val="18"/>
        </w:rPr>
        <w:t>https://pubmed.ncbi.nlm.nih.gov/42752467/</w:t>
      </w:r>
    </w:p>
    <w:p>
      <w:pPr>
        <w:pStyle w:val="Heading2"/>
      </w:pPr>
      <w:r>
        <w:t>REDCap-zu-Klinik-Transfer für Patient-Reported Outcomes ohne MDR-Klassifikation</w:t>
      </w:r>
    </w:p>
    <w:p>
      <w:r>
        <w:rPr>
          <w:i/>
          <w:color w:val="666666"/>
          <w:sz w:val="18"/>
        </w:rPr>
        <w:t>Cenko E et al.  ·  Stud Health Technol Inform  ·  17.09.2026  ·  PMID 42752464</w:t>
      </w:r>
    </w:p>
    <w:p>
      <w:r>
        <w:t>Pragmatischer Ansatz zur Integration von Forschungs-PROMs (REDCap) in Klinikinformationssysteme mittels HL7v2-Interface und Dokumentformat-Transfer ohne automatisierte Scoring.</w:t>
      </w:r>
    </w:p>
    <w:p>
      <w:r>
        <w:rPr>
          <w:b/>
        </w:rPr>
        <w:t xml:space="preserve">Ergebnis: </w:t>
      </w:r>
      <w:r>
        <w:t>Psychosomatische Baseline-Assessments erfolgreich übertragen und als PDFs verfügbar; Verzicht auf Scoring-Automatisierung: MDR-Klassifikation vermieden; Logging und Bestätigungsmechanismen gewährleisteten Nachverfolgbarkeit.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deutsches Regelwerk (DSGVO, MDR) – Template für andere Zentren und zukünftige FHIR-Standardisierung</w:t>
      </w:r>
    </w:p>
    <w:p>
      <w:r>
        <w:rPr>
          <w:color w:val="5A7D3A"/>
          <w:sz w:val="18"/>
        </w:rPr>
        <w:t>https://pubmed.ncbi.nlm.nih.gov/42752464/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