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19.09.2026  |  6 Studien  |  ki.m-vf.de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Automatisierte Qualitätskontrolle für Nierenkrankheiten in belgischen Hausarztpraxen</w:t>
      </w:r>
    </w:p>
    <w:p>
      <w:r>
        <w:rPr>
          <w:i/>
          <w:color w:val="666666"/>
          <w:sz w:val="18"/>
        </w:rPr>
        <w:t>Soetaert J et al.  ·  BMJ Health Care Inform  ·  18.09.2026  ·  PMID 42759973</w:t>
      </w:r>
    </w:p>
    <w:p>
      <w:r>
        <w:t>Entwicklung und Implementierung eines automatisierten Audit- und Feedback-Tools in Elektronischen Patientenakten zur Messung und Verbesserung der Versorgungsqualität bei chronischer Nierenerkrankung in belgischen Hausarztpraxen.</w:t>
      </w:r>
    </w:p>
    <w:p>
      <w:r>
        <w:rPr>
          <w:b/>
        </w:rPr>
        <w:t xml:space="preserve">Ergebnis: </w:t>
      </w:r>
      <w:r>
        <w:t>Von 36 geplanten Qualitätsindikatoren konnten 14 mittels automatisierter Abfragen in EMR-Systeme implementiert werden und Feedback-Dashboards bereitgestellt werden; 22 Indikatoren mussten ausgeschlossen oder angepasst werden wegen technischer Limitationen und unzuverlässiger Datenqualität.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Hausarztdaten, vergleichbares Sozialversicherungssystem wie Deutschland.</w:t>
      </w:r>
    </w:p>
    <w:p>
      <w:r>
        <w:rPr>
          <w:color w:val="5A7D3A"/>
          <w:sz w:val="18"/>
        </w:rPr>
        <w:t>https://pubmed.ncbi.nlm.nih.gov/42759973/</w:t>
      </w:r>
    </w:p>
    <w:p>
      <w:pPr>
        <w:pStyle w:val="Heading2"/>
      </w:pPr>
      <w:r>
        <w:t>Large Language Models für Chronische Nierenerkrankung in Hausarztpraxen</w:t>
      </w:r>
    </w:p>
    <w:p>
      <w:r>
        <w:rPr>
          <w:i/>
          <w:color w:val="666666"/>
          <w:sz w:val="18"/>
        </w:rPr>
        <w:t>Wu J et al.  ·  BMJ Health Care Inform  ·  18.09.2026  ·  PMID 42759972</w:t>
      </w:r>
    </w:p>
    <w:p>
      <w:r>
        <w:t>Evaluierung eines Large Language Models (DeepSeek) zur Unterstützung der CKD-Diagnose in Hausarztpraxen mittels Zeit-Serien-Daten aus elektronischen Patientenakten.</w:t>
      </w:r>
    </w:p>
    <w:p>
      <w:r>
        <w:rPr>
          <w:b/>
        </w:rPr>
        <w:t xml:space="preserve">Ergebnis: </w:t>
      </w:r>
      <w:r>
        <w:t>Mit 1-Monats-Daten: Genauigkeit 87,0 %, AUC 0,921, Sensitivität 89,1 %, Spezifität 86,8 %, Erkennungsrate früher Nierenschädigung 42,2 %; mit 1-Jahres-Daten stieg Sensitivität auf 92,2 % und frühe Erkennung auf 52,6 %.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Algorithmus-Grundprinzipien und EHR-Nutzung übertragbar auf deutsche Hausarztdaten.</w:t>
      </w:r>
    </w:p>
    <w:p>
      <w:r>
        <w:rPr>
          <w:color w:val="5A7D3A"/>
          <w:sz w:val="18"/>
        </w:rPr>
        <w:t>https://pubmed.ncbi.nlm.nih.gov/42759972/</w:t>
      </w:r>
    </w:p>
    <w:p>
      <w:pPr>
        <w:pStyle w:val="Heading2"/>
      </w:pPr>
      <w:r>
        <w:t>Machine Learning für Präklinische Erkennung von Schlaganfall durch Gefäßverschluss</w:t>
      </w:r>
    </w:p>
    <w:p>
      <w:r>
        <w:rPr>
          <w:i/>
          <w:color w:val="666666"/>
          <w:sz w:val="18"/>
        </w:rPr>
        <w:t>Garcia BL et al.  ·  Eur Stroke J  ·  05.09.2026  ·  PMID 42758735</w:t>
      </w:r>
    </w:p>
    <w:p>
      <w:r>
        <w:t>Vergleich von XGBoost, logistischer Regression und klinischen Scales zur Präklinischen Erkennung von Schlaganfällen mit großem Gefäßverschluss oder Hirnblutung anhand von Rettungsdienst-Daten.</w:t>
      </w:r>
    </w:p>
    <w:p>
      <w:r>
        <w:rPr>
          <w:b/>
        </w:rPr>
        <w:t xml:space="preserve">Ergebnis: </w:t>
      </w:r>
      <w:r>
        <w:t>XGBoost erreichte balanced accuracy von 82,1 % mit Routine-Variablen und 84,4 % mit erweiterten Variablen, übertrifft logistische Regression (79,0–80,7 %) und RACE-Scale (74,5 %); Sensitivität 76,7 %, Spezifität 92,1 %.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europäisches Gesundheitssystem, prospektive Validierung erforderlich.</w:t>
      </w:r>
    </w:p>
    <w:p>
      <w:r>
        <w:rPr>
          <w:color w:val="5A7D3A"/>
          <w:sz w:val="18"/>
        </w:rPr>
        <w:t>https://pubmed.ncbi.nlm.nih.gov/42758735/</w:t>
      </w:r>
    </w:p>
    <w:p>
      <w:pPr>
        <w:pStyle w:val="Heading2"/>
      </w:pPr>
      <w:r>
        <w:t>GPT-4 versus Tumorkonferenz bei Bauchspeicheldrüsenkrebs: Konkordanzanalyse</w:t>
      </w:r>
    </w:p>
    <w:p>
      <w:r>
        <w:rPr>
          <w:i/>
          <w:color w:val="666666"/>
          <w:sz w:val="18"/>
        </w:rPr>
        <w:t>Gehrisch F et al.  ·  Langenbecks Arch Surg  ·  17.09.2026  ·  PMID 42758212</w:t>
      </w:r>
    </w:p>
    <w:p>
      <w:r>
        <w:t>Prospektive Vergleichsstudie, die Behandlungsempfehlungen eines Large Language Models mit Entscheidungen realer multidisziplinärer Tumorkonferenzen bei Pankreaskarzinom abgleicht.</w:t>
      </w:r>
    </w:p>
    <w:p>
      <w:r>
        <w:rPr>
          <w:b/>
        </w:rPr>
        <w:t xml:space="preserve">Ergebnis: </w:t>
      </w:r>
      <w:r>
        <w:t>Konkordanzrate zwischen GPT-4 und Tumorkonferenz 73,3 % (κ = 0,64, p &lt; 0,0001); höchste Konkordanz bei metastasierter Erkrankung (90,0 %) und neoadjuvanter Therapie (90,0 %), niedrigste bei komplexen Fällen mit erforderlicher Zusatzdiagnostik (50,0 %).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aber nur als ergänzend zu klinischer Expertise geeignet.</w:t>
      </w:r>
    </w:p>
    <w:p>
      <w:r>
        <w:rPr>
          <w:color w:val="5A7D3A"/>
          <w:sz w:val="18"/>
        </w:rPr>
        <w:t>https://pubmed.ncbi.nlm.nih.gov/42758212/</w:t>
      </w:r>
    </w:p>
    <w:p>
      <w:pPr>
        <w:pStyle w:val="Heading2"/>
      </w:pPr>
      <w:r>
        <w:t>Generative AI-Chatbots für Patientenberatung zu diabetischer Neuropathie: Sicherheit und Genauigkeit</w:t>
      </w:r>
    </w:p>
    <w:p>
      <w:r>
        <w:rPr>
          <w:i/>
          <w:color w:val="666666"/>
          <w:sz w:val="18"/>
        </w:rPr>
        <w:t>Gu L et al.  ·  Front Public Health  ·  03.09.2026  ·  PMID 42757292</w:t>
      </w:r>
    </w:p>
    <w:p>
      <w:r>
        <w:t>Vergleichende Bewertung von fünf öffentlich verfügbaren KI-Chatbots (ChatGPT, Gemini, Copilot, DeepSeek, Doubao) zu Sicherheit, Richtlinienkonkordanz und Genauigkeit bei patientenorientierter Beratung zu schmerzhafter diabetischer Polyneuropathie.</w:t>
      </w:r>
    </w:p>
    <w:p>
      <w:r>
        <w:rPr>
          <w:b/>
        </w:rPr>
        <w:t xml:space="preserve">Ergebnis: </w:t>
      </w:r>
      <w:r>
        <w:t>9,3 % aller 300 Antworten waren unsicher oder potenziell unsicher (Spannweite 5,0–15,0 % je Modell); Genauigkeit, Richtlinienkonkordanz und Anwendbarkeit unterschieden sich signifikant (p &lt; 0,001); ChatGPT erzielte höchste Content-Scores, Doubao niedrigste, DeepSeek höchste Lesbarkeitsanforderungen.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Modelle, aber Sicherheitsbefunde unabhängig von Gesundheitssystem; jedes System erzeugte mindestens eine potenziell schädliche Antwort.</w:t>
      </w:r>
    </w:p>
    <w:p>
      <w:r>
        <w:rPr>
          <w:color w:val="5A7D3A"/>
          <w:sz w:val="18"/>
        </w:rPr>
        <w:t>https://pubmed.ncbi.nlm.nih.gov/42757292/</w:t>
      </w:r>
    </w:p>
    <w:p>
      <w:pPr>
        <w:pStyle w:val="Heading2"/>
      </w:pPr>
      <w:r>
        <w:t>Machine Learning für Dysphagie-Screening bei Demenzpatienten</w:t>
      </w:r>
    </w:p>
    <w:p>
      <w:r>
        <w:rPr>
          <w:i/>
          <w:color w:val="666666"/>
          <w:sz w:val="18"/>
        </w:rPr>
        <w:t>Du J et al.  ·  Clin Interv Aging  ·  12.09.2026  ·  PMID 42756555</w:t>
      </w:r>
    </w:p>
    <w:p>
      <w:r>
        <w:t>Entwicklung und externe Validierung eines interpretierbaren Machine-Learning-Modells zur Früherkennung von Schluckstörungen bei Demenzkranken mittels routinemäßig verfügbarer klinischer Daten.</w:t>
      </w:r>
    </w:p>
    <w:p>
      <w:r>
        <w:rPr>
          <w:b/>
        </w:rPr>
        <w:t xml:space="preserve">Ergebnis: </w:t>
      </w:r>
      <w:r>
        <w:t>AdaBoost erzielte AUC 0,918 (interne Validierung), 0,900 (externe Validierung Klinik), 0,889 (zeitliche externe Validierung); Sensitivität 0,879–0,901; Hauptprädiktoren: BMI, Zahnzahl, Essfähigkeit, Ernährungstyp, Clinical Dementia Rating.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Modell auf europäische Demenzversorgung übertragbar, Online-Tool zur Fallidentifikation entwickelt.</w:t>
      </w:r>
    </w:p>
    <w:p>
      <w:r>
        <w:rPr>
          <w:color w:val="5A7D3A"/>
          <w:sz w:val="18"/>
        </w:rPr>
        <w:t>https://pubmed.ncbi.nlm.nih.gov/42756555/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