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26.09.2026  |  6 Studien  |  ki.m-vf.de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Elektronische Gesundheitsakten zur Inanspruchnahme bei perinataler Angststörung</w:t>
      </w:r>
    </w:p>
    <w:p>
      <w:r>
        <w:rPr>
          <w:i/>
          <w:color w:val="666666"/>
          <w:sz w:val="18"/>
        </w:rPr>
        <w:t>Yu D et al.  ·  BMJ Open  ·  25.09.2026  ·  PMID 42790911</w:t>
      </w:r>
    </w:p>
    <w:p>
      <w:r>
        <w:t>Retrospektive Kohortenstudie mit elektronischen Krankenakten zu Unterschieden in der Gesundheitsnutzung zwischen Frauen mit perinataler Angststörung, Angststörung ohne Gravidität und Schwangerschaft ohne Angststörung.</w:t>
      </w:r>
    </w:p>
    <w:p>
      <w:r>
        <w:rPr>
          <w:b/>
        </w:rPr>
        <w:t xml:space="preserve">Ergebnis: </w:t>
      </w:r>
      <w:r>
        <w:t>Frauen mit perinataler Angststörung hatten signifikant höhere Inanspruchnahme über alle Zeiträume. Adjusted IRR für primärärztliche Kontakte während Schwangerschaft 1,74 (95%-KI 1,74–1,75) vs. Angststörung allein; im 72-Tage-Postpartum-Fenster 2,29 (95%-KI 2,28–2,29). Muster bei Verordnungen ähnlich, keine erhöhten Hospitalisierungsraten.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UK-EHR-Daten; strukturelle und regulatorische Ähnlichkeiten zu Deutschem Gesundheitswesen.</w:t>
      </w:r>
    </w:p>
    <w:p>
      <w:r>
        <w:rPr>
          <w:color w:val="5A7D3A"/>
          <w:sz w:val="18"/>
        </w:rPr>
        <w:t>https://pubmed.ncbi.nlm.nih.gov/42790911/</w:t>
      </w:r>
    </w:p>
    <w:p>
      <w:pPr>
        <w:pStyle w:val="Heading2"/>
      </w:pPr>
      <w:r>
        <w:t>KI-Gesprächsagenten in der Dialektisch-Behavioralen Therapie: Sicht von Fachleuten</w:t>
      </w:r>
    </w:p>
    <w:p>
      <w:r>
        <w:rPr>
          <w:i/>
          <w:color w:val="666666"/>
          <w:sz w:val="18"/>
        </w:rPr>
        <w:t>Liljedahl N et al.  ·  JMIR Ment Health  ·  25.09.2026  ·  PMID 42789542</w:t>
      </w:r>
    </w:p>
    <w:p>
      <w:r>
        <w:t>Qualitative Interviewstudie mit 17 schwedischen DBT-Psychologen zu Perspektiven auf Integration von KI-Konversationsagenten in die Borderline-Persönlichkeitsstörung-Behandlung.</w:t>
      </w:r>
    </w:p>
    <w:p>
      <w:r>
        <w:rPr>
          <w:b/>
        </w:rPr>
        <w:t xml:space="preserve">Ergebnis: </w:t>
      </w:r>
      <w:r>
        <w:t>Drei Kernthemen: (1) relationale Positionierung der KI-CA (Tool, Teamkollege, Supervisor, Konkurrenz); (2) KI als idealer Helfer (verfügbar, kompetent, ermüdungsresistent); (3) Besorgnis über Abhängigkeitsverstärkung und maladaptive Gewöhnung statt Autonomie. Zentrale Spannung: KI-funktionale Mehrdeutigkeit bei validierungsbedürftigen vs. autonomiefördernden Reaktionen.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Digitalisierungsgrad höher als Deutschland, Befunde zeigen Implementierungspotenziale und Risiken.</w:t>
      </w:r>
    </w:p>
    <w:p>
      <w:r>
        <w:rPr>
          <w:color w:val="5A7D3A"/>
          <w:sz w:val="18"/>
        </w:rPr>
        <w:t>https://pubmed.ncbi.nlm.nih.gov/42789542/</w:t>
      </w:r>
    </w:p>
    <w:p>
      <w:pPr>
        <w:pStyle w:val="Heading2"/>
      </w:pPr>
      <w:r>
        <w:t>Digitale Therapie für negative Schizophrenie-Symptome: Wirksamkeit und Sicherheit</w:t>
      </w:r>
    </w:p>
    <w:p>
      <w:r>
        <w:rPr>
          <w:i/>
          <w:color w:val="666666"/>
          <w:sz w:val="18"/>
        </w:rPr>
        <w:t>Pratap A et al.  ·  JAMA Netw Open  ·  01.09.2026  ·  PMID 42789268</w:t>
      </w:r>
    </w:p>
    <w:p>
      <w:r>
        <w:t>Randomisierte klinische Studie zur Wirksamkeit des Smartphone-basierten Programms CT-155 als Ergänzung zur Standardbehandlung bei negativen Schizophrenie-Symptomen.</w:t>
      </w:r>
    </w:p>
    <w:p>
      <w:r>
        <w:rPr>
          <w:b/>
        </w:rPr>
        <w:t xml:space="preserve">Ergebnis: </w:t>
      </w:r>
      <w:r>
        <w:t>CT-155 reduzierte die CAINS-MAP-Scores signifikant stärker als digitale Kontrolle (−2,6 Punkte, 95%-KI −4,0 bis −1,2; p &lt; 0,001, Cohen d = −0,36). 70,4 % der Teilnehmer blieben aktiv, keine behandlungsbedingten schweren unerwünschten Ereignisse. Kleine bis mittlere Effektgröße, vergleichbar mit psychosozialen Interventionen und Pharmakotherapie.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Nutzenbefund generalisierbar; Zulassungsfähigkeit hierzulande noch offen.</w:t>
      </w:r>
    </w:p>
    <w:p>
      <w:r>
        <w:rPr>
          <w:color w:val="5A7D3A"/>
          <w:sz w:val="18"/>
        </w:rPr>
        <w:t>https://pubmed.ncbi.nlm.nih.gov/42789268/</w:t>
      </w:r>
    </w:p>
    <w:p>
      <w:pPr>
        <w:pStyle w:val="Heading2"/>
      </w:pPr>
      <w:r>
        <w:t>CleanSurvival: automatisierte Datenaufbereitung für Überlebenszeitmodelle mittels Reinforcement Learning</w:t>
      </w:r>
    </w:p>
    <w:p>
      <w:r>
        <w:rPr>
          <w:i/>
          <w:color w:val="666666"/>
          <w:sz w:val="18"/>
        </w:rPr>
        <w:t>Koka Y et al.  ·  BMC Med Inform Decis Mak  ·  24.09.2026  ·  PMID 42786471</w:t>
      </w:r>
    </w:p>
    <w:p>
      <w:r>
        <w:t>Software-Framework zur automatisierten Optimierung von Datenaufbereitungs-Pipelines für Überlebenszeitanalysen mit Q-Learning, validiert auf realen Datensätzen.</w:t>
      </w:r>
    </w:p>
    <w:p>
      <w:r>
        <w:rPr>
          <w:b/>
        </w:rPr>
        <w:t xml:space="preserve">Ergebnis: </w:t>
      </w:r>
      <w:r>
        <w:t>Benchmarks zeigen Verbesserung der prädiktiven Leistung gegenüber einfachen Baselines; Laufzeitverhalten ist kontextabhängig. Simulationsstudie demonstriert Effektivität bei verschiedenen Missingness-Typen und Rauschleveln. Python-Package öffentlich verfügbar. Integration von Preprocessing speziell für Überlebenszeitmodelle in AutoML-Pipelines ermöglicht robustere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Entwicklung (DFKI); Infrastruktur vor Ort vorhanden.</w:t>
      </w:r>
    </w:p>
    <w:p>
      <w:r>
        <w:rPr>
          <w:color w:val="5A7D3A"/>
          <w:sz w:val="18"/>
        </w:rPr>
        <w:t>https://pubmed.ncbi.nlm.nih.gov/42786471/</w:t>
      </w:r>
    </w:p>
    <w:p>
      <w:pPr>
        <w:pStyle w:val="Heading2"/>
      </w:pPr>
      <w:r>
        <w:t>Whole-Slide-Imaging in der Schilddrüsen-Zytopathologie: Konkordanz mit konventioneller Diagnostik</w:t>
      </w:r>
    </w:p>
    <w:p>
      <w:r>
        <w:rPr>
          <w:i/>
          <w:color w:val="666666"/>
          <w:sz w:val="18"/>
        </w:rPr>
        <w:t>Şahi̇n AF et al.  ·  Diagn Pathol  ·  22.09.2026  ·  PMID 42773449</w:t>
      </w:r>
    </w:p>
    <w:p>
      <w:r>
        <w:t>Retrospektive Pilotstudie zur diagnostischen Übereinstimmung zwischen WSI-basierter und konventioneller Schilddrüsen-Zytologie an 13 Fällen mit blinder Evaluation.</w:t>
      </w:r>
    </w:p>
    <w:p>
      <w:r>
        <w:rPr>
          <w:b/>
        </w:rPr>
        <w:t xml:space="preserve">Ergebnis: </w:t>
      </w:r>
      <w:r>
        <w:t>Gesamtkondordanz 69,2 %; Cohens Kappa 0,58–0,63 (moderate bis substanzielle Übereinstimmung). Volle Konkordanz in 7 Fällen (überwiegend maligne), Teilkonkordanz in 5 Fällen (Grenzfälle), völlige Diskordanz in 1 Fall (indeterminiert). Keine klinisch relevanten Fehlklassifikationen zwischen benigne und maligne. WSI zeigt praktische Machbarkeit auch in Ferndiagnostik.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Schweiz beteiligt; vergleichbare Pathologie-Infrastruktur.</w:t>
      </w:r>
    </w:p>
    <w:p>
      <w:r>
        <w:rPr>
          <w:color w:val="5A7D3A"/>
          <w:sz w:val="18"/>
        </w:rPr>
        <w:t>https://pubmed.ncbi.nlm.nih.gov/42773449/</w:t>
      </w:r>
    </w:p>
    <w:p>
      <w:pPr>
        <w:pStyle w:val="Heading2"/>
      </w:pPr>
      <w:r>
        <w:t>Deep Learning für Überlebensprognose bei TAVI-Patienten direkt aus CT-Bildern</w:t>
      </w:r>
    </w:p>
    <w:p>
      <w:r>
        <w:rPr>
          <w:i/>
          <w:color w:val="666666"/>
          <w:sz w:val="18"/>
        </w:rPr>
        <w:t>Müller D et al.  ·  Stud Health Technol Inform  ·  17.09.2026  ·  PMID 42752486</w:t>
      </w:r>
    </w:p>
    <w:p>
      <w:r>
        <w:t>End-to-End-Deep-Learning-Pipeline zur Vorhersage des Gesamtüberlebens von TAVI-Patienten aus präprozeduralen Whole-Body-CT-Scans ohne manuelle Feature-Engineering, trainiert an 317 Patienten mit 5-fach Kreuzvalidierung.</w:t>
      </w:r>
    </w:p>
    <w:p>
      <w:r>
        <w:rPr>
          <w:b/>
        </w:rPr>
        <w:t xml:space="preserve">Ergebnis: </w:t>
      </w:r>
      <w:r>
        <w:t>Modell erreichte AUC 0,787, Spezifität 72,1 % und Sensitivität 85,3 % zur Identifikation von Kurzzeit-Überlebenden (&lt; 12 Monate). Leistung vergleichbar mit multimodalen ML-Modellen, die extensive klinische Daten erfordern. Risikoidentifikation ohne manuelle Feature-Extraktion als potenzielles klinisches Entscheidungshilfewerkzeug für präoperative Risikoschätzung.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Deutschland; klinisches Anwendungssetting in Versorgungskontinuität übertragbar.</w:t>
      </w:r>
    </w:p>
    <w:p>
      <w:r>
        <w:rPr>
          <w:color w:val="5A7D3A"/>
          <w:sz w:val="18"/>
        </w:rPr>
        <w:t>https://pubmed.ncbi.nlm.nih.gov/42752486/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