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25.10.2026  |  394 Studien  |  ki.m-vf.de</w:t>
      </w:r>
    </w:p>
    <w:p>
      <w:pPr>
        <w:pStyle w:val="Heading1"/>
      </w:pPr>
      <w:r>
        <w:t>Aufgenommen am 25.10.2026</w:t>
      </w:r>
    </w:p>
    <w:p>
      <w:pPr>
        <w:pStyle w:val="Heading2"/>
      </w:pPr>
      <w:r>
        <w:t>KI-gestützte Ultraschalldiagnostik bei Traumapatienten: Überblick über Einsatzmöglichkeiten</w:t>
      </w:r>
    </w:p>
    <w:p>
      <w:r>
        <w:rPr>
          <w:i/>
          <w:color w:val="666666"/>
          <w:sz w:val="18"/>
        </w:rPr>
        <w:t>Yazıcı MM et al.  ·  BMC Med Imaging  ·  23.07.2026  ·  PMID 42920145</w:t>
      </w:r>
    </w:p>
    <w:p>
      <w:r>
        <w:t>Scoping Review über 21 Studien zu AI-Anwendungen in der Notfall-Ultraschalldiagnostik (FAST, Thorax-, Extremitätenverletzungen), die bisher nur auf retrospektive Kohorten mit begrenzte externer Validierung beschränkt sind.</w:t>
      </w:r>
    </w:p>
    <w:p>
      <w:r>
        <w:rPr>
          <w:b/>
        </w:rPr>
        <w:t xml:space="preserve">Ergebnis: </w:t>
      </w:r>
      <w:r>
        <w:t>Hohe retrospektive diagnostische Genauigkeit in Entwicklungsphasen gezeigt, aber nur eine Studie mit externer Validierung. Kritische Lücken: Keine Patientenergebnisse (Mortalität, Interventionszeit) gemessen, fehlende Interpretierbarkeit, Regulierungshindernisse und mangelndes Vertrauen der Kliniker identifiziert.</w:t>
      </w:r>
    </w:p>
    <w:p>
      <w:r>
        <w:rPr>
          <w:b/>
          <w:sz w:val="19"/>
        </w:rPr>
        <w:t xml:space="preserve">Übertragbarkeit: </w:t>
      </w:r>
      <w:r>
        <w:rPr>
          <w:sz w:val="19"/>
        </w:rPr>
        <w:t>Methodisches Problem auch für Deutschland: Prospektive RCTs mit Ergebnismessung erforderlich vor klinischer Einführung.</w:t>
      </w:r>
    </w:p>
    <w:p>
      <w:r>
        <w:rPr>
          <w:color w:val="5A7D3A"/>
          <w:sz w:val="18"/>
        </w:rPr>
        <w:t>https://pubmed.ncbi.nlm.nih.gov/42920145/</w:t>
      </w:r>
    </w:p>
    <w:p>
      <w:pPr>
        <w:pStyle w:val="Heading2"/>
      </w:pPr>
      <w:r>
        <w:t>Deep Learning für Osteoporose-Screening auf Routine-Thoraxbildern: Kosteneffektivitätsanalyse</w:t>
      </w:r>
    </w:p>
    <w:p>
      <w:r>
        <w:rPr>
          <w:i/>
          <w:color w:val="666666"/>
          <w:sz w:val="18"/>
        </w:rPr>
        <w:t>Shi BX et al.  ·  Arch Osteoporos  ·  23.10.2026  ·  PMID 42920040</w:t>
      </w:r>
    </w:p>
    <w:p>
      <w:r>
        <w:t>Kosteneffektivitätsanalyse eines Deep Learning-Modells zur opportunistischen Osteoporose-Detektion auf vorhandenen Thorax-Röntgenbildern bei postmenopausalen Frauen in Taiwan, unter Berücksichtigung von Diagnostic Performance, Bestätigungstestung und Therapieeinleitung.</w:t>
      </w:r>
    </w:p>
    <w:p>
      <w:r>
        <w:rPr>
          <w:b/>
        </w:rPr>
        <w:t xml:space="preserve">Ergebnis: </w:t>
      </w:r>
      <w:r>
        <w:t>Im Basisszenario mit vollständigem Behandlungspfad war KI-Screening kosteneffektiv (ICER 21.827 USD pro QALY, unterhalb Taiwan-Schwellwert). Wirtschaftlicher Nutzen entstanden bei Osteoporose-Prävalenz &gt;14,3%, optimale Sensitivität 86,6%, Spezifität 76,3%. In realen Taiwanese Daten sank der Wert jedoch erheblich.</w:t>
      </w:r>
    </w:p>
    <w:p>
      <w:r>
        <w:rPr>
          <w:b/>
          <w:sz w:val="19"/>
        </w:rPr>
        <w:t xml:space="preserve">Übertragbarkeit: </w:t>
      </w:r>
      <w:r>
        <w:rPr>
          <w:sz w:val="19"/>
        </w:rPr>
        <w:t>Auf Deutschland übertragbar: Erfolg hängt von Vollständigkeit der Post-Screening-Versorgungspfade ab, nicht von Modellperformance allein.</w:t>
      </w:r>
    </w:p>
    <w:p>
      <w:r>
        <w:rPr>
          <w:color w:val="5A7D3A"/>
          <w:sz w:val="18"/>
        </w:rPr>
        <w:t>https://pubmed.ncbi.nlm.nih.gov/42920040/</w:t>
      </w:r>
    </w:p>
    <w:p>
      <w:pPr>
        <w:pStyle w:val="Heading2"/>
      </w:pPr>
      <w:r>
        <w:t>Beacon Decision Support System in der Onkologie: Usability und Nutzerzufriedenheit</w:t>
      </w:r>
    </w:p>
    <w:p>
      <w:r>
        <w:rPr>
          <w:i/>
          <w:color w:val="666666"/>
          <w:sz w:val="18"/>
        </w:rPr>
        <w:t>Dahò M et al.  ·  BMC Health Serv Res  ·  27.07.2026  ·  PMID 42919333</w:t>
      </w:r>
    </w:p>
    <w:p>
      <w:r>
        <w:t>Mixed-Methods-Studie (10 Interviews, 45 Nutzer-Befragung) zur Bewertung eines EU-geförderten Decision Support Systems (Beacon DSS) für evidenzbasierte Onkologieinformation bei Patienten und Fachpersonen.</w:t>
      </w:r>
    </w:p>
    <w:p>
      <w:r>
        <w:rPr>
          <w:b/>
        </w:rPr>
        <w:t xml:space="preserve">Ergebnis: </w:t>
      </w:r>
      <w:r>
        <w:t>System Usability Scale (SUS) Durchschnittswert 60,3 (SD 9,6), akzeptable Usability. AttrakDiff-Skala: hohe pragmatische Qualität und Attraktivität, niedrigere hedonische Qualität. Patienten schätzten visuelle Klarheit, bemängelten aber App-Fehler. Fachpersonen lobten Glaubwürdigkeit, kritisierten Suchspezifizität und Datenabdeckung.</w:t>
      </w:r>
    </w:p>
    <w:p>
      <w:r>
        <w:rPr>
          <w:b/>
          <w:sz w:val="19"/>
        </w:rPr>
        <w:t xml:space="preserve">Übertragbarkeit: </w:t>
      </w:r>
      <w:r>
        <w:rPr>
          <w:sz w:val="19"/>
        </w:rPr>
        <w:t>EU-Kontext, vergleichbare Versicherungssysteme, Italien/Malta – Umsetzungshinweise für deutsche Kliniken.</w:t>
      </w:r>
    </w:p>
    <w:p>
      <w:r>
        <w:rPr>
          <w:color w:val="5A7D3A"/>
          <w:sz w:val="18"/>
        </w:rPr>
        <w:t>https://pubmed.ncbi.nlm.nih.gov/42919333/</w:t>
      </w:r>
    </w:p>
    <w:p>
      <w:pPr>
        <w:pStyle w:val="Heading2"/>
      </w:pPr>
      <w:r>
        <w:t>KI im Gesundheitswesen: Bewusstsein, Nachfrage und Zahlungsbereitschaft in Vietnam</w:t>
      </w:r>
    </w:p>
    <w:p>
      <w:r>
        <w:rPr>
          <w:i/>
          <w:color w:val="666666"/>
          <w:sz w:val="18"/>
        </w:rPr>
        <w:t>Thi TN et al.  ·  BMC Health Serv Res  ·  28.07.2026  ·  PMID 42919318</w:t>
      </w:r>
    </w:p>
    <w:p>
      <w:r>
        <w:t>Querschnittstudie (n=3.550) zu Awareness, Nachfrage und Zahlungsbereitschaft für KI-gestützte Gesundheitsdienste bei vietnamesischen Erwachsenen; Faktoren: Einkommen, Gesundheitskompetenz, eHealth-Kompetenz.</w:t>
      </w:r>
    </w:p>
    <w:p>
      <w:r>
        <w:rPr>
          <w:b/>
        </w:rPr>
        <w:t xml:space="preserve">Ergebnis: </w:t>
      </w:r>
      <w:r>
        <w:t>49,1% berichteten Awareness für KI im Gesundheitswesen, 58,6% bereit oder sehr bereit zur Nutzung. Bevorzugte Anwendungen: Notfallmedizinische Unterstützung (80,6%), Telemedizin (55,0%). Aber 65,6% unwilling to pay für KI-Mehrkosten; akzeptierte Zusatzkosten 10–19%. Höheres Einkommen, größerer Haushalt, bessere Gesundheitskompetenz korreliert mit höherer KI-Awareness.</w:t>
      </w:r>
    </w:p>
    <w:p>
      <w:r>
        <w:rPr>
          <w:b/>
          <w:sz w:val="19"/>
        </w:rPr>
        <w:t xml:space="preserve">Übertragbarkeit: </w:t>
      </w:r>
      <w:r>
        <w:rPr>
          <w:sz w:val="19"/>
        </w:rPr>
        <w:t>Entwicklungsland-Kontext, andere Ressourcenlage – nur Awareness-Befund für Deutschland relevant.</w:t>
      </w:r>
    </w:p>
    <w:p>
      <w:r>
        <w:rPr>
          <w:color w:val="5A7D3A"/>
          <w:sz w:val="18"/>
        </w:rPr>
        <w:t>https://pubmed.ncbi.nlm.nih.gov/42919318/</w:t>
      </w:r>
    </w:p>
    <w:p>
      <w:pPr>
        <w:pStyle w:val="Heading2"/>
      </w:pPr>
      <w:r>
        <w:t>KI-gestützte Koloskopie und Adenomerkennung: Metaanalyse von 46 RCTs</w:t>
      </w:r>
    </w:p>
    <w:p>
      <w:r>
        <w:rPr>
          <w:i/>
          <w:color w:val="666666"/>
          <w:sz w:val="18"/>
        </w:rPr>
        <w:t>Liu X et al.  ·  BMC Med Imaging  ·  28.07.2026  ·  PMID 42919249</w:t>
      </w:r>
    </w:p>
    <w:p>
      <w:r>
        <w:t>Metaanalyse von 46 randomisierten kontrollierten Studien (n=37.012) zu KI-gestützter versus konventioneller Koloskopie bezüglich Detektion kolorektaler Läsionen.</w:t>
      </w:r>
    </w:p>
    <w:p>
      <w:r>
        <w:rPr>
          <w:b/>
        </w:rPr>
        <w:t xml:space="preserve">Ergebnis: </w:t>
      </w:r>
      <w:r>
        <w:t>KI-gestützte Koloskopie erhöhte die Adenomadetektionsrate (ADR) um 22% (RR 1,22; 95%-CI 1,17–1,27), Polypdetektionsrate um 22% (RR 1,22; 95%-CI 1,16–1,29) und sessile Serratierte Läsionen um 20% (RR 1,20; 95%-CI 1,05–1,36) gegenüber konventioneller Koloskopie. Keine signifikanten Unterschiede bei fortgeschrittenen Adenomen.</w:t>
      </w:r>
    </w:p>
    <w:p>
      <w:r>
        <w:rPr>
          <w:b/>
          <w:sz w:val="19"/>
        </w:rPr>
        <w:t xml:space="preserve">Übertragbarkeit: </w:t>
      </w:r>
      <w:r>
        <w:rPr>
          <w:sz w:val="19"/>
        </w:rPr>
        <w:t>Randomisierte Studiengebnisse direkt auf deutsche Screening-Koloskopien übertragbar.</w:t>
      </w:r>
    </w:p>
    <w:p>
      <w:r>
        <w:rPr>
          <w:color w:val="5A7D3A"/>
          <w:sz w:val="18"/>
        </w:rPr>
        <w:t>https://pubmed.ncbi.nlm.nih.gov/42919249/</w:t>
      </w:r>
    </w:p>
    <w:p>
      <w:pPr>
        <w:pStyle w:val="Heading2"/>
      </w:pPr>
      <w:r>
        <w:t>Kalibrierung von Machine Learning-Vorhersagemodellen ohne Validierungsdaten: vier Verfahren im Vergleich</w:t>
      </w:r>
    </w:p>
    <w:p>
      <w:r>
        <w:rPr>
          <w:i/>
          <w:color w:val="666666"/>
          <w:sz w:val="18"/>
        </w:rPr>
        <w:t>Carluccio ED et al.  ·  Stat Med  ·  Okt. 2026  ·  PMID 42894315</w:t>
      </w:r>
    </w:p>
    <w:p>
      <w:r>
        <w:t>Methodische Studie an Deutschlands Daten (Schlaganfall-Funktionsvorhersage, koronare Herzerkrankung) zu Kalibrierungsmethoden für ML-Modelle, wenn keine Zieldatensätze zur Neukalibrierung verfügbar sind.</w:t>
      </w:r>
    </w:p>
    <w:p>
      <w:r>
        <w:rPr>
          <w:b/>
        </w:rPr>
        <w:t xml:space="preserve">Ergebnis: </w:t>
      </w:r>
      <w:r>
        <w:t>Fünf Verfahren getestet (SimCal, Similarity-Binning Averaging, Adaptive Calibration, Elkan, Expert Judgment Modeling). SimCal funktionierte gut bei korrekter Modellspezifikation. Keines der Verfahren überzeugte konsistent in allen Situationen. Expert Judgment Modeling scheiterte auf Schlaganfall-Daten.</w:t>
      </w:r>
    </w:p>
    <w:p>
      <w:r>
        <w:rPr>
          <w:b/>
          <w:sz w:val="19"/>
        </w:rPr>
        <w:t xml:space="preserve">Übertragbarkeit: </w:t>
      </w:r>
      <w:r>
        <w:rPr>
          <w:sz w:val="19"/>
        </w:rPr>
        <w:t>Deutsche Versorgungsdaten (Hamburg, Essen): zentral für Kalibrierungsproblem bei Modellübertragung zwischen Zentren und Populationen.</w:t>
      </w:r>
    </w:p>
    <w:p>
      <w:r>
        <w:rPr>
          <w:color w:val="5A7D3A"/>
          <w:sz w:val="18"/>
        </w:rPr>
        <w:t>https://pubmed.ncbi.nlm.nih.gov/42894315/</w:t>
      </w:r>
    </w:p>
    <w:p>
      <w:pPr>
        <w:pStyle w:val="Heading1"/>
      </w:pPr>
      <w:r>
        <w:t>Aufgenommen am 24.10.2026</w:t>
      </w:r>
    </w:p>
    <w:p>
      <w:pPr>
        <w:pStyle w:val="Heading2"/>
      </w:pPr>
      <w:r>
        <w:t>Machine-Learning-Modell zur Vorhersage von 30-Tage-Wiederaufnahmen nach Nierentransplantation</w:t>
      </w:r>
    </w:p>
    <w:p>
      <w:r>
        <w:rPr>
          <w:i/>
          <w:color w:val="666666"/>
          <w:sz w:val="18"/>
        </w:rPr>
        <w:t>Pinto-Ramírez J et al.  ·  BMC Med Inform Decis Mak  ·  28.07.2026  ·  PMID 42919237</w:t>
      </w:r>
    </w:p>
    <w:p>
      <w:r>
        <w:t>Retrospektive Kohortenstudie (2.110 Erwachsene, 2008–2023) zur Entwicklung eines ML-Modells (Random Forest, XGBoost) für 30-Tage-Wiederaufnahmen mit Validierung und web-basiertem Risikokalkulator für Klinikteams.</w:t>
      </w:r>
    </w:p>
    <w:p>
      <w:r>
        <w:rPr>
          <w:b/>
        </w:rPr>
        <w:t xml:space="preserve">Ergebnis: </w:t>
      </w:r>
      <w:r>
        <w:t>Wiederaufnahmerate 14,5 %. XGBoost erzielte höchste Diskriminierung (AUC 0,750, 95%-KI 0,722–0,778). Random Forest (AUC 0,744) und logistische Regression (AUC 0,747) vergleichbar. Wichtigste Prädiktoren: Aufenthaltsdauer, Dialysedauer, GFR Tag 7, Empfängeralter, chirurgische Reintervention. Web-basierter Kalkulator verfügbar; externe Validierung ausstehend.</w:t>
      </w:r>
    </w:p>
    <w:p>
      <w:r>
        <w:rPr>
          <w:b/>
          <w:sz w:val="19"/>
        </w:rPr>
        <w:t xml:space="preserve">Übertragbarkeit: </w:t>
      </w:r>
      <w:r>
        <w:rPr>
          <w:sz w:val="19"/>
        </w:rPr>
        <w:t>Kolumbien, aber Methodik und Prognoseansatz direkt auf deutsche Transplantationszentren übertragbar.</w:t>
      </w:r>
    </w:p>
    <w:p>
      <w:r>
        <w:rPr>
          <w:color w:val="5A7D3A"/>
          <w:sz w:val="18"/>
        </w:rPr>
        <w:t>https://pubmed.ncbi.nlm.nih.gov/42919237/</w:t>
      </w:r>
    </w:p>
    <w:p>
      <w:pPr>
        <w:pStyle w:val="Heading2"/>
      </w:pPr>
      <w:r>
        <w:t>ML-Modell aus quantitativer MRT und klinischen Variablen sagt Gehfähigkeitsverlust bei DMD voraus</w:t>
      </w:r>
    </w:p>
    <w:p>
      <w:r>
        <w:rPr>
          <w:i/>
          <w:color w:val="666666"/>
          <w:sz w:val="18"/>
        </w:rPr>
        <w:t>Liu C et al.  ·  J Cachexia Sarcopenia Muscle  ·  Okt. 2026  ·  PMID 42913715</w:t>
      </w:r>
    </w:p>
    <w:p>
      <w:r>
        <w:t>Prospektive Studie (188 DMD-Jungen, 43,5 Monate Follow-up) zur Entwicklung eines Random-Survival-Forest-Modells mit Fettinfiltrations-MRT-Parametern und klinischen Variablen zur individualisierten Risikovorhersage für Gehfähigkeitsverlust.</w:t>
      </w:r>
    </w:p>
    <w:p>
      <w:r>
        <w:rPr>
          <w:b/>
        </w:rPr>
        <w:t xml:space="preserve">Ergebnis: </w:t>
      </w:r>
      <w:r>
        <w:t>66 Patienten (35,1 %) erlebten Gehfähigkeitsverlust. RSF-Modell mit 6 Prädiktoren (NSAA-Score, MRC%, Alter, 3 Fettinfiltrationswerte): C-Index 0,870 (95%-KI 0,764–0,957), überlegen gegenüber klinischem Cox (0,804) und Ridge-Cox (0,853). Zeit-abhängige AUCs 0,984/0,971/0,913/0,850 bei 12/24/36/48 Monaten. Risikogruppen-Stratifikation mit log-rank p = 0,0025. Web-Tool verfügbar.</w:t>
      </w:r>
    </w:p>
    <w:p>
      <w:r>
        <w:rPr>
          <w:b/>
          <w:sz w:val="19"/>
        </w:rPr>
        <w:t xml:space="preserve">Übertragbarkeit: </w:t>
      </w:r>
      <w:r>
        <w:rPr>
          <w:sz w:val="19"/>
        </w:rPr>
        <w:t>China, aber Methodik mit quantitativer MRT und genetischen Markern auf europäische DMD-Zentren mit ähnlicher Ausstattung übertragbar.</w:t>
      </w:r>
    </w:p>
    <w:p>
      <w:r>
        <w:rPr>
          <w:color w:val="5A7D3A"/>
          <w:sz w:val="18"/>
        </w:rPr>
        <w:t>https://pubmed.ncbi.nlm.nih.gov/42913715/</w:t>
      </w:r>
    </w:p>
    <w:p>
      <w:pPr>
        <w:pStyle w:val="Heading2"/>
      </w:pPr>
      <w:r>
        <w:t>Ethik der Telerehabilitation in der Krebsnachsorge: Versorgungsgerechtigkeit und Verantwortung</w:t>
      </w:r>
    </w:p>
    <w:p>
      <w:r>
        <w:rPr>
          <w:i/>
          <w:color w:val="666666"/>
          <w:sz w:val="18"/>
        </w:rPr>
        <w:t>Lorenz MC et al.  ·  J Med Internet Res  ·  22.10.2026  ·  PMID 42912965</w:t>
      </w:r>
    </w:p>
    <w:p>
      <w:r>
        <w:t>Qualitative Analyse von Leitlinien und Fachliteratur zur Telerehabilitation nach Krebsbehandlung, mit Fokus auf Verantwortung in drei Bereichen: interpersonale Versorgungsqualität, rechtliche Rahmenbedingungen und Positionierung im Gesundheitssystem.</w:t>
      </w:r>
    </w:p>
    <w:p>
      <w:r>
        <w:rPr>
          <w:b/>
        </w:rPr>
        <w:t xml:space="preserve">Ergebnis: </w:t>
      </w:r>
      <w:r>
        <w:t>Die Autoren identifizierten, dass ethische Diskussionen zu Telerehabilitation sich überwiegend auf Sicherheit, Datenschutz und Compliance konzentrieren, während Zwecksetzung, Gerechtigkeit und Patientenperspektiven unterrepräsentiert sind. Nutzen und Lasten hängen von Alter, digitaler Kompetenz, Konnektivität, Betreuungsverfügbarkeit und Behinderungen ab – Gerechtigkeitsansprüche gelten daher nicht universell.</w:t>
      </w:r>
    </w:p>
    <w:p>
      <w:r>
        <w:rPr>
          <w:b/>
          <w:sz w:val="19"/>
        </w:rPr>
        <w:t xml:space="preserve">Übertragbarkeit: </w:t>
      </w:r>
      <w:r>
        <w:rPr>
          <w:sz w:val="19"/>
        </w:rPr>
        <w:t>Europäische Studie, deutsche Beteiligung; direkt übertragbar auf deutsches Gesundheitssystem und seine Versorgungsverpflichtung.</w:t>
      </w:r>
    </w:p>
    <w:p>
      <w:r>
        <w:rPr>
          <w:color w:val="5A7D3A"/>
          <w:sz w:val="18"/>
        </w:rPr>
        <w:t>https://pubmed.ncbi.nlm.nih.gov/42912965/</w:t>
      </w:r>
    </w:p>
    <w:p>
      <w:pPr>
        <w:pStyle w:val="Heading2"/>
      </w:pPr>
      <w:r>
        <w:t>KI-gestützte Echtzeit-Klassifikation von Kolonialpolypen: europäisch-japanische Multicenterstudie</w:t>
      </w:r>
    </w:p>
    <w:p>
      <w:r>
        <w:rPr>
          <w:i/>
          <w:color w:val="666666"/>
          <w:sz w:val="18"/>
        </w:rPr>
        <w:t>Olabintan O et al.  ·  JMIR Res Protoc  ·  21.10.2026  ·  PMID 42905971</w:t>
      </w:r>
    </w:p>
    <w:p>
      <w:r>
        <w:t>Protokoll für prospektive Multicenterstudie mit über 17.000 Bildern aus 9 Zentren (8 europäisch, 1 japanisch) zur Entwicklung eines multiklassifizierten AI-Systems (Nichtneoplasie, niedrig-/hochgradige Adenome, sessile Polypen, invasives Karzinom) zur Verbesserung der optischen Diagnostik während Koloskopie.</w:t>
      </w:r>
    </w:p>
    <w:p>
      <w:r>
        <w:rPr>
          <w:b/>
        </w:rPr>
        <w:t xml:space="preserve">Ergebnis: </w:t>
      </w:r>
      <w:r>
        <w:t>Studienprotokoll; Zieldefinition: 85 % Genauigkeit der AI-Klassifikation. Einsatz von SimCLR-basiertem halbüberwachtem Lernen mit Grad-CAM für Interpretierbarkeit. Datenmanagement über REDCap mit Deidentifikation geplant. Ziel ist klinisch anwendbares, multimodales System jenseits binärer Klassifizierung.</w:t>
      </w:r>
    </w:p>
    <w:p>
      <w:r>
        <w:rPr>
          <w:b/>
          <w:sz w:val="19"/>
        </w:rPr>
        <w:t xml:space="preserve">Übertragbarkeit: </w:t>
      </w:r>
      <w:r>
        <w:rPr>
          <w:sz w:val="19"/>
        </w:rPr>
        <w:t>Hauptsächlich europäische Zentren (UK, Spanien, Norwegen, Deutschland, Italien, Dänemark); deutsches Zentrum beteiligt; direkt relevant für deutsche Klinikpraxis.</w:t>
      </w:r>
    </w:p>
    <w:p>
      <w:r>
        <w:rPr>
          <w:color w:val="5A7D3A"/>
          <w:sz w:val="18"/>
        </w:rPr>
        <w:t>https://pubmed.ncbi.nlm.nih.gov/42905971/</w:t>
      </w:r>
    </w:p>
    <w:p>
      <w:pPr>
        <w:pStyle w:val="Heading2"/>
      </w:pPr>
      <w:r>
        <w:t>LLM-Zugang erhöht Gesundheitskompetenz, nicht rational begründete Arzneimittelnutzung: Querschnittsstudie</w:t>
      </w:r>
    </w:p>
    <w:p>
      <w:r>
        <w:rPr>
          <w:i/>
          <w:color w:val="666666"/>
          <w:sz w:val="18"/>
        </w:rPr>
        <w:t>Raif K et al.  ·  Front Public Health  ·  06.10.2026  ·  PMID 42903289</w:t>
      </w:r>
    </w:p>
    <w:p>
      <w:r>
        <w:t>Strukturgleichungsmodellierung bei 445 Erwachsenen zur Untersuchung, wie KI-Einstellung und individuelle Innovativität über Gesundheitskompetenz auf rationale Arzneimittelnutzung wirken – Fokus auf Unterscheidung zwischen Informationszugang und klinischer Disziplin.</w:t>
      </w:r>
    </w:p>
    <w:p>
      <w:r>
        <w:rPr>
          <w:b/>
        </w:rPr>
        <w:t xml:space="preserve">Ergebnis: </w:t>
      </w:r>
      <w:r>
        <w:t>Individuelle Innovativität zeigte signifikanten positiven Effekt auf Gesundheitskompetenz (direkt) und rationale Arzneimittelnutzung (vermittelt über Gesundheitskompetenz). Positive KI-Einstellung verbesserte Gesundheitskompetenz signifikant, führte aber nicht zu verbesserter Arzneimittelnutzung. Modellfit: χ²/df = 2,45, CFI = 0,935, RMSEA = 0,062. Kernbefund: algorithmische Anleitung kann ärztliche Überwachung nicht ersetzen.</w:t>
      </w:r>
    </w:p>
    <w:p>
      <w:r>
        <w:rPr>
          <w:b/>
          <w:sz w:val="19"/>
        </w:rPr>
        <w:t xml:space="preserve">Übertragbarkeit: </w:t>
      </w:r>
      <w:r>
        <w:rPr>
          <w:sz w:val="19"/>
        </w:rPr>
        <w:t>Zypern, kleinere Stichprobe, aber methoden- und sicherheitsbefunde übertragbar; zeigt Risiken bei unkritischer LLM-Nutzung.</w:t>
      </w:r>
    </w:p>
    <w:p>
      <w:r>
        <w:rPr>
          <w:color w:val="5A7D3A"/>
          <w:sz w:val="18"/>
        </w:rPr>
        <w:t>https://pubmed.ncbi.nlm.nih.gov/42903289/</w:t>
      </w:r>
    </w:p>
    <w:p>
      <w:pPr>
        <w:pStyle w:val="Heading2"/>
      </w:pPr>
      <w:r>
        <w:t>Kontaktlose Radar-basierte Schlafstadien-Klassifikation: Validierungsstudie an 1.022 Probanden</w:t>
      </w:r>
    </w:p>
    <w:p>
      <w:r>
        <w:rPr>
          <w:i/>
          <w:color w:val="666666"/>
          <w:sz w:val="18"/>
        </w:rPr>
        <w:t>Diao Z et al.  ·  Physiol Meas  ·  20.10.2026  ·  PMID 42838096</w:t>
      </w:r>
    </w:p>
    <w:p>
      <w:r>
        <w:t>Prospektive Validierungsstudie eines 60-GHz-Radarsystems (Sleepal AI Lamp) zur berührungslosen Schlafklassifikation im Vergleich zu Polysomnographie bei 1.022 Probanden mit normalen und pathologischen Schlafprofilen (Schlafapnoe aller Schweregrade).</w:t>
      </w:r>
    </w:p>
    <w:p>
      <w:r>
        <w:rPr>
          <w:b/>
        </w:rPr>
        <w:t xml:space="preserve">Ergebnis: </w:t>
      </w:r>
      <w:r>
        <w:t>Binäre Schlaf-Wach-Klassifikation: 92,7 % Genauigkeit, Cohen's Kappa 0,792, Sensitivität 96,4 %, Spezifität 80,8 %, F1-Score 0,896. Vierstufige Klassifikation (Wach, Light, Deep, REM): 77,2 % Genauigkeit, Kappa 0,677, F1-Score 0,768, ausgeglichene Genauigkeit 77,4 %. Stadienspezifische F1-Scores: Wach 0,839, Light 0,740, Deep 0,691, REM 0,802.</w:t>
      </w:r>
    </w:p>
    <w:p>
      <w:r>
        <w:rPr>
          <w:b/>
          <w:sz w:val="19"/>
        </w:rPr>
        <w:t xml:space="preserve">Übertragbarkeit: </w:t>
      </w:r>
      <w:r>
        <w:rPr>
          <w:sz w:val="19"/>
        </w:rPr>
        <w:t>Deutschsprachiger Raum möglich, Technologie nicht an proprietäre Systeme gebunden; geeignet für Home-Screening und Langzeit-Überwachung ohne Geräteanschaffung.</w:t>
      </w:r>
    </w:p>
    <w:p>
      <w:r>
        <w:rPr>
          <w:color w:val="5A7D3A"/>
          <w:sz w:val="18"/>
        </w:rPr>
        <w:t>https://pubmed.ncbi.nlm.nih.gov/42838096/</w:t>
      </w:r>
    </w:p>
    <w:p>
      <w:pPr>
        <w:pStyle w:val="Heading1"/>
      </w:pPr>
      <w:r>
        <w:t>Aufgenommen am 23.10.2026</w:t>
      </w:r>
    </w:p>
    <w:p>
      <w:pPr>
        <w:pStyle w:val="Heading2"/>
      </w:pPr>
      <w:r>
        <w:t>Machine Learning zur Vorhersage von Krankenhaussterblichkeit bei diabetischer Sepsis</w:t>
      </w:r>
    </w:p>
    <w:p>
      <w:r>
        <w:rPr>
          <w:i/>
          <w:color w:val="666666"/>
          <w:sz w:val="18"/>
        </w:rPr>
        <w:t>Shen Z et al.  ·  BMC Med Inform Decis Mak  ·  22.10.2026  ·  PMID 42907983</w:t>
      </w:r>
    </w:p>
    <w:p>
      <w:r>
        <w:t>Retrospektive Kohortenstudie mit 7716 Patienten aus MIMIC-IV-Datenbank zum Vergleich von sechs Machine-Learning-Algorithmen für Mortalitätsprognose bei septischen Diabetespatienten auf Intensivstationen.</w:t>
      </w:r>
    </w:p>
    <w:p>
      <w:r>
        <w:rPr>
          <w:b/>
        </w:rPr>
        <w:t xml:space="preserve">Ergebnis: </w:t>
      </w:r>
      <w:r>
        <w:t>Gradient Boosting Decision Tree erreichte beste Vorhersagegüte (AUC 0,792) und übertraf konventionellen SOFA-Score. SHAP-Analyse zeigte klinische Feature-Hierarchie. Modellinterpretierbarkeit ermöglichte potenzielle Adoption in der Klinik.</w:t>
      </w:r>
    </w:p>
    <w:p>
      <w:r>
        <w:rPr>
          <w:b/>
          <w:sz w:val="19"/>
        </w:rPr>
        <w:t xml:space="preserve">Übertragbarkeit: </w:t>
      </w:r>
      <w:r>
        <w:rPr>
          <w:sz w:val="19"/>
        </w:rPr>
        <w:t>USA-Daten, aber Methodik und Sepsis-Management sind übertragbar</w:t>
      </w:r>
    </w:p>
    <w:p>
      <w:r>
        <w:rPr>
          <w:color w:val="5A7D3A"/>
          <w:sz w:val="18"/>
        </w:rPr>
        <w:t>https://pubmed.ncbi.nlm.nih.gov/42907983/</w:t>
      </w:r>
    </w:p>
    <w:p>
      <w:pPr>
        <w:pStyle w:val="Heading2"/>
      </w:pPr>
      <w:r>
        <w:t>LLM-Zuverlässigkeit beim Feedback zu ärztlichen Zusammenfassungen in Virtual-Patient-Systemen</w:t>
      </w:r>
    </w:p>
    <w:p>
      <w:r>
        <w:rPr>
          <w:i/>
          <w:color w:val="666666"/>
          <w:sz w:val="18"/>
        </w:rPr>
        <w:t>Stadler P et al.  ·  JMIR Med Educ  ·  21.10.2026  ·  PMID 42906147</w:t>
      </w:r>
    </w:p>
    <w:p>
      <w:r>
        <w:t>Experimentelle Studie mit 122 bewerteten Fallzusammenfassungen (Englisch/Deutsch) aus 6 Virtual-Patient-Fällen zum Test von vier LLMs (Claude, GPT-4o, Mistral Large/7B) bei rubrik-gestütztem Scoring mit verschiedenen Prompting-Strategien.</w:t>
      </w:r>
    </w:p>
    <w:p>
      <w:r>
        <w:rPr>
          <w:b/>
        </w:rPr>
        <w:t xml:space="preserve">Ergebnis: </w:t>
      </w:r>
      <w:r>
        <w:t>Große geschlossene Modelle (Claude, GPT-4o, Mistral Large) zeigten hohe Test-Retest-Zuverlässigkeit (ICC≥0,92). Claude war praktisch deterministisch (ICC/Fleiss κ≥0,99). Few-shot+CoT-Prompting erzielte beste Konkordanz mit Experten: Mistral Large 77 % Genauigkeit, Gwet AC1 0,85. LLMs können skalierbare formale Feedback geben, sollten aber Expertenurteil ergänzen, nicht ersetzen.</w:t>
      </w:r>
    </w:p>
    <w:p>
      <w:r>
        <w:rPr>
          <w:b/>
          <w:sz w:val="19"/>
        </w:rPr>
        <w:t xml:space="preserve">Übertragbarkeit: </w:t>
      </w:r>
      <w:r>
        <w:rPr>
          <w:sz w:val="19"/>
        </w:rPr>
        <w:t>Deutsche Fallstudien, europäische Kliniken, Lehrkontext</w:t>
      </w:r>
    </w:p>
    <w:p>
      <w:r>
        <w:rPr>
          <w:color w:val="5A7D3A"/>
          <w:sz w:val="18"/>
        </w:rPr>
        <w:t>https://pubmed.ncbi.nlm.nih.gov/42906147/</w:t>
      </w:r>
    </w:p>
    <w:p>
      <w:pPr>
        <w:pStyle w:val="Heading2"/>
      </w:pPr>
      <w:r>
        <w:t>KI-gestützte Delir-Risikovorhersage versus 4AT-Score in der Traumatologie</w:t>
      </w:r>
    </w:p>
    <w:p>
      <w:r>
        <w:rPr>
          <w:i/>
          <w:color w:val="666666"/>
          <w:sz w:val="18"/>
        </w:rPr>
        <w:t>Franceschini K et al.  ·  JMIR Form Res  ·  21.10.2026  ·  PMID 42906075</w:t>
      </w:r>
    </w:p>
    <w:p>
      <w:r>
        <w:t>Prospektive Kohortenstudie an 2002 Patienten einer Traumastation, die KI-basierte Delir-Vorhersage mit dem etablierten 4AT-Screening-Tool verglichen hat.</w:t>
      </w:r>
    </w:p>
    <w:p>
      <w:r>
        <w:rPr>
          <w:b/>
        </w:rPr>
        <w:t xml:space="preserve">Ergebnis: </w:t>
      </w:r>
      <w:r>
        <w:t>Die KI-basierte Methode erkannte 87,3 % der Patienten mit späterem Delir korrekt als Risikopatienten (vs. 28,0 % für 4AT), bei allerdings niedrigerer Spezifität (73,9 % vs. 96,3 %). AUC 0,884. Das Tool ermöglicht proaktive Risikovorhersage bereits bei Aufnahme ohne administrativen Mehraufwand.</w:t>
      </w:r>
    </w:p>
    <w:p>
      <w:r>
        <w:rPr>
          <w:b/>
          <w:sz w:val="19"/>
        </w:rPr>
        <w:t xml:space="preserve">Übertragbarkeit: </w:t>
      </w:r>
      <w:r>
        <w:rPr>
          <w:sz w:val="19"/>
        </w:rPr>
        <w:t>Österreich, klinische Daten elektronischer Krankenakten, direkter Versorgungsnutzen</w:t>
      </w:r>
    </w:p>
    <w:p>
      <w:r>
        <w:rPr>
          <w:color w:val="5A7D3A"/>
          <w:sz w:val="18"/>
        </w:rPr>
        <w:t>https://pubmed.ncbi.nlm.nih.gov/42906075/</w:t>
      </w:r>
    </w:p>
    <w:p>
      <w:pPr>
        <w:pStyle w:val="Heading2"/>
      </w:pPr>
      <w:r>
        <w:t>Psychosoziale Faktoren in der Telecare-Akzeptanz durch Pflegepersonen im Alter</w:t>
      </w:r>
    </w:p>
    <w:p>
      <w:r>
        <w:rPr>
          <w:i/>
          <w:color w:val="666666"/>
          <w:sz w:val="18"/>
        </w:rPr>
        <w:t>Dolničar V et al.  ·  JMIR Aging  ·  20.10.2026  ·  PMID 42904387</w:t>
      </w:r>
    </w:p>
    <w:p>
      <w:r>
        <w:t>Querschnittsstudie mit 526 Pflegepersonen in Slowenien zu Faktoren der Telecare-Nutzungsabsicht, unter Erweiterung des UTAUT-Modells um psychosoziale Outcomes (Sicherheitsgefühl, Beruhigung, Verbundenheit).</w:t>
      </w:r>
    </w:p>
    <w:p>
      <w:r>
        <w:rPr>
          <w:b/>
        </w:rPr>
        <w:t xml:space="preserve">Ergebnis: </w:t>
      </w:r>
      <w:r>
        <w:t>Psychosoziale Outcomes zeigten stärkste Assoziation mit Nutzungsabsicht (β=0,41, p&lt;0,001). Leistungserwartung (β=0,52), förderliche Bedingungen (β=0,11) und sozialer Einfluss (β=0,21) signifikant. Modell erklärte 54 % der Varianz. Psychosoziale Faktoren sind kritischer als bloße Funktionalität.</w:t>
      </w:r>
    </w:p>
    <w:p>
      <w:r>
        <w:rPr>
          <w:b/>
          <w:sz w:val="19"/>
        </w:rPr>
        <w:t xml:space="preserve">Übertragbarkeit: </w:t>
      </w:r>
      <w:r>
        <w:rPr>
          <w:sz w:val="19"/>
        </w:rPr>
        <w:t>Slowenien, europäischer Kontext, aber Prätest-Absicht, nicht tatsächliche Nutzung</w:t>
      </w:r>
    </w:p>
    <w:p>
      <w:r>
        <w:rPr>
          <w:color w:val="5A7D3A"/>
          <w:sz w:val="18"/>
        </w:rPr>
        <w:t>https://pubmed.ncbi.nlm.nih.gov/42904387/</w:t>
      </w:r>
    </w:p>
    <w:p>
      <w:pPr>
        <w:pStyle w:val="Heading2"/>
      </w:pPr>
      <w:r>
        <w:t>Ärztebewertung von Datenqualität in neuem länderübergreifendem EHR-System</w:t>
      </w:r>
    </w:p>
    <w:p>
      <w:r>
        <w:rPr>
          <w:i/>
          <w:color w:val="666666"/>
          <w:sz w:val="18"/>
        </w:rPr>
        <w:t>Golburean O et al.  ·  JMIR Form Res  ·  20.10.2026  ·  PMID 42902907</w:t>
      </w:r>
    </w:p>
    <w:p>
      <w:r>
        <w:t>Mixed-Methods-Studie mit Befragung und Interviews von Klinikärzten nach Einführung eines neuen institutionsübergreifenden EHR-Systems in Norwegen (2023–2024).</w:t>
      </w:r>
    </w:p>
    <w:p>
      <w:r>
        <w:rPr>
          <w:b/>
        </w:rPr>
        <w:t xml:space="preserve">Ergebnis: </w:t>
      </w:r>
      <w:r>
        <w:t>Mehrheit der Ärzte kritisierte Datenorganisation und Überfülle an Informationen; Verbesserungen in Datenzugriff anerkannt. Zeitverlauf-Funktion zur Patientenüberwachung und Chat-Funktion für Kollegenkommunikation als nutzbringend bewertet. Patientenportal verbesserte Kommunikation, aber Nutzbarkeit erfordert umfangreiche Schulung.</w:t>
      </w:r>
    </w:p>
    <w:p>
      <w:r>
        <w:rPr>
          <w:b/>
          <w:sz w:val="19"/>
        </w:rPr>
        <w:t xml:space="preserve">Übertragbarkeit: </w:t>
      </w:r>
      <w:r>
        <w:rPr>
          <w:sz w:val="19"/>
        </w:rPr>
        <w:t>Norwegen, vergleichbare EHR-Infrastruktur und Datenschutzstandards</w:t>
      </w:r>
    </w:p>
    <w:p>
      <w:r>
        <w:rPr>
          <w:color w:val="5A7D3A"/>
          <w:sz w:val="18"/>
        </w:rPr>
        <w:t>https://pubmed.ncbi.nlm.nih.gov/42902907/</w:t>
      </w:r>
    </w:p>
    <w:p>
      <w:pPr>
        <w:pStyle w:val="Heading2"/>
      </w:pPr>
      <w:r>
        <w:t>LLM-gestützte Harmonisierung widersprüchlicher Leitlinien für Delphi-Konsensfindung</w:t>
      </w:r>
    </w:p>
    <w:p>
      <w:r>
        <w:rPr>
          <w:i/>
          <w:color w:val="666666"/>
          <w:sz w:val="18"/>
        </w:rPr>
        <w:t>Haas M et al.  ·  J Med Internet Res  ·  20.10.2026  ·  PMID 42902842</w:t>
      </w:r>
    </w:p>
    <w:p>
      <w:r>
        <w:t>Methodische Studie zur Entwicklung eines reproduzierbaren Workflows für LLM-gestützte Analyse konkurrierender klinischer Leitlinien und Identifikation von Evidenzlücken, am Beispiel Peniskarzinom durchgeführt.</w:t>
      </w:r>
    </w:p>
    <w:p>
      <w:r>
        <w:rPr>
          <w:b/>
        </w:rPr>
        <w:t xml:space="preserve">Ergebnis: </w:t>
      </w:r>
      <w:r>
        <w:t>Workflow extrahierte 157 Empfehlungen aus 5 Leitlinien und verdichtete diese zu 68 harmonisierten Kandidaten-Items; 15 Konsens-Items, 53 divergente/ambivalente Items, 9 echte Lücken identifiziert. Dreifach-Ensemble-Konsistenzprüfung mit Expertenvalidierung: 62 finale Delphi-ready Items.</w:t>
      </w:r>
    </w:p>
    <w:p>
      <w:r>
        <w:rPr>
          <w:b/>
          <w:sz w:val="19"/>
        </w:rPr>
        <w:t xml:space="preserve">Übertragbarkeit: </w:t>
      </w:r>
      <w:r>
        <w:rPr>
          <w:sz w:val="19"/>
        </w:rPr>
        <w:t>Deutschland/Europa, Standard-Leitlinienmethodik und Konsensverfahren</w:t>
      </w:r>
    </w:p>
    <w:p>
      <w:r>
        <w:rPr>
          <w:color w:val="5A7D3A"/>
          <w:sz w:val="18"/>
        </w:rPr>
        <w:t>https://pubmed.ncbi.nlm.nih.gov/42902842/</w:t>
      </w:r>
    </w:p>
    <w:p>
      <w:pPr>
        <w:pStyle w:val="Heading1"/>
      </w:pPr>
      <w:r>
        <w:t>Aufgenommen am 22.10.2026</w:t>
      </w:r>
    </w:p>
    <w:p>
      <w:pPr>
        <w:pStyle w:val="Heading2"/>
      </w:pPr>
      <w:r>
        <w:t>KI-gestützte Entscheidungsunterstützung bei Brustschmerz reduziert Tests, Betten und Strahlenexposition</w:t>
      </w:r>
    </w:p>
    <w:p>
      <w:r>
        <w:rPr>
          <w:i/>
          <w:color w:val="666666"/>
          <w:sz w:val="18"/>
        </w:rPr>
        <w:t>Baugh CW et al.  ·  West J Emerg Med  ·  28.07.2026  ·  PMID 42900908</w:t>
      </w:r>
    </w:p>
    <w:p>
      <w:r>
        <w:t>Monte-Carlo-Simulation mit 1.000 Iterationen zur Schätzung des nationalen Potenzials eines AI-CDSS zur Vermeidung überflüssiger Herzdiagnostik bei ED-Patienten mit Brustschmerz basierend auf EKG, Troponin und klinischen Daten.</w:t>
      </w:r>
    </w:p>
    <w:p>
      <w:r>
        <w:rPr>
          <w:b/>
        </w:rPr>
        <w:t xml:space="preserve">Ergebnis: </w:t>
      </w:r>
      <w:r>
        <w:t>Bei universeller Adoption: geschätzte jährliche Kosteneinsparungen 675 Millionen US$ (SD 340 Mio.) durch Vermeidung von 688.000 (SD 147.000) Tests, 537.000 (SD 115.000) vermiedene Kurzaufenthalte, 8,3 Millionen Bettstunden eingespart, 490 Krebsfälle und 250 Todesfälle durch reduzierte Strahlung vermieden.</w:t>
      </w:r>
    </w:p>
    <w:p>
      <w:r>
        <w:rPr>
          <w:b/>
          <w:sz w:val="19"/>
        </w:rPr>
        <w:t xml:space="preserve">Übertragbarkeit: </w:t>
      </w:r>
      <w:r>
        <w:rPr>
          <w:sz w:val="19"/>
        </w:rPr>
        <w:t>Simulationsergebnis basiert auf europäischer Validierungskohorte; Kosteneinsparungslogik systemübergreifend relevant</w:t>
      </w:r>
    </w:p>
    <w:p>
      <w:r>
        <w:rPr>
          <w:color w:val="5A7D3A"/>
          <w:sz w:val="18"/>
        </w:rPr>
        <w:t>https://pubmed.ncbi.nlm.nih.gov/42900908/</w:t>
      </w:r>
    </w:p>
    <w:p>
      <w:pPr>
        <w:pStyle w:val="Heading2"/>
      </w:pPr>
      <w:r>
        <w:t>Digitale Entscheidungsunterstützung für Arzneimittelbewertung: belgisches Multi-Kriterien-Modell</w:t>
      </w:r>
    </w:p>
    <w:p>
      <w:r>
        <w:rPr>
          <w:i/>
          <w:color w:val="666666"/>
          <w:sz w:val="18"/>
        </w:rPr>
        <w:t>Blonda A et al.  ·  Int J Technol Assess Health Care  ·  19.10.2026  ·  PMID 42894980</w:t>
      </w:r>
    </w:p>
    <w:p>
      <w:r>
        <w:t>Entwicklung und Pilotierung eines Machine-Learning-gestützten Multi-Criteria Decision Analysis (MCDA)-Rahmens in Belgien zur transparenteren Reimbursement-Entscheidung bei Orphan Drugs mit expliziter Gewichtung von Kriterien.</w:t>
      </w:r>
    </w:p>
    <w:p>
      <w:r>
        <w:rPr>
          <w:b/>
        </w:rPr>
        <w:t xml:space="preserve">Ergebnis: </w:t>
      </w:r>
      <w:r>
        <w:t>Sieben quantitative und drei qualitative Kriterien wurden durch Delphi-Prozess gewichtet; vier Orphan Drugs wurden bewertet und zeigten unterschiedliche MCDA-Scores (0,39–0,77), wobei unmet medical need das höchste Gewicht erhielt.</w:t>
      </w:r>
    </w:p>
    <w:p>
      <w:r>
        <w:rPr>
          <w:b/>
          <w:sz w:val="19"/>
        </w:rPr>
        <w:t xml:space="preserve">Übertragbarkeit: </w:t>
      </w:r>
      <w:r>
        <w:rPr>
          <w:sz w:val="19"/>
        </w:rPr>
        <w:t>Belgisches System, vergleichbar mit deutschem HTA-Ansatz und Nutzenbewertung</w:t>
      </w:r>
    </w:p>
    <w:p>
      <w:r>
        <w:rPr>
          <w:color w:val="5A7D3A"/>
          <w:sz w:val="18"/>
        </w:rPr>
        <w:t>https://pubmed.ncbi.nlm.nih.gov/42894980/</w:t>
      </w:r>
    </w:p>
    <w:p>
      <w:pPr>
        <w:pStyle w:val="Heading2"/>
      </w:pPr>
      <w:r>
        <w:t>KI-gestützte Diagnostik und Entscheidungsunterstützung in der Psychiatrie: Europäische Perspektive</w:t>
      </w:r>
    </w:p>
    <w:p>
      <w:r>
        <w:rPr>
          <w:i/>
          <w:color w:val="666666"/>
          <w:sz w:val="18"/>
        </w:rPr>
        <w:t>Healy J et al.  ·  Eur Psychiatry  ·  19.10.2026  ·  PMID 42894499</w:t>
      </w:r>
    </w:p>
    <w:p>
      <w:r>
        <w:t>Narrative Übersichtsarbeit zur Rolle von KI und Machine Learning bei der Bewältigung von Herausforderungen in der europäischen psychiatrischen Versorgung, einschließlich Diagnoseverzögerungen, Fachkräftemangel und Burnout-Belastung.</w:t>
      </w:r>
    </w:p>
    <w:p>
      <w:r>
        <w:rPr>
          <w:b/>
        </w:rPr>
        <w:t xml:space="preserve">Ergebnis: </w:t>
      </w:r>
      <w:r>
        <w:t>Die Arbeit identifiziert digitale Technologien und KI als potenziell geeignet zur Verbesserung der psychischen Gesundheitsversorgung in Europa, nennt aber keine konkreten Leistungskennzahlen oder Effektgrößen.</w:t>
      </w:r>
    </w:p>
    <w:p>
      <w:r>
        <w:rPr>
          <w:b/>
          <w:sz w:val="19"/>
        </w:rPr>
        <w:t xml:space="preserve">Übertragbarkeit: </w:t>
      </w:r>
      <w:r>
        <w:rPr>
          <w:sz w:val="19"/>
        </w:rPr>
        <w:t>Europäischer Schwerpunkt, vergleichbare Gesundheitssysteme und Herausforderungen</w:t>
      </w:r>
    </w:p>
    <w:p>
      <w:r>
        <w:rPr>
          <w:color w:val="5A7D3A"/>
          <w:sz w:val="18"/>
        </w:rPr>
        <w:t>https://pubmed.ncbi.nlm.nih.gov/42894499/</w:t>
      </w:r>
    </w:p>
    <w:p>
      <w:pPr>
        <w:pStyle w:val="Heading2"/>
      </w:pPr>
      <w:r>
        <w:t>LLM-Vergleich für klinische Entscheidungsunterstützung in der Implantologie: Spezifität, Genauigkeit und klinischer Nutzen</w:t>
      </w:r>
    </w:p>
    <w:p>
      <w:r>
        <w:rPr>
          <w:i/>
          <w:color w:val="666666"/>
          <w:sz w:val="18"/>
        </w:rPr>
        <w:t>Alevizakos V et al.  ·  BMC Oral Health  ·  23.07.2026  ·  PMID 42894220</w:t>
      </w:r>
    </w:p>
    <w:p>
      <w:r>
        <w:t>Vergleich von vier Large Language Models (ChatGPT, Gemini, LLaMA mit und ohne Retrieval-Augmented Generation) durch blinded Expert Assessment bezüglich Spezifität, Genauigkeit und klinischer Nutzbarkeit bei 16 zahnärztlichen Fragen.</w:t>
      </w:r>
    </w:p>
    <w:p>
      <w:r>
        <w:rPr>
          <w:b/>
        </w:rPr>
        <w:t xml:space="preserve">Ergebnis: </w:t>
      </w:r>
      <w:r>
        <w:t>LLaMA 3.2 mit RAG erzielte höchste Scores über alle Kriterien (Spezifität Median 9,0, Genauigkeit 9,5, klinischer Nutzen 10,0; alle p&lt;0,001 vs. andere Modelle). RAG-Modelle mit Zugriff auf strukturierte Leitlinien zeigten superior konsistente klinische Performance.</w:t>
      </w:r>
    </w:p>
    <w:p>
      <w:r>
        <w:rPr>
          <w:b/>
          <w:sz w:val="19"/>
        </w:rPr>
        <w:t xml:space="preserve">Übertragbarkeit: </w:t>
      </w:r>
      <w:r>
        <w:rPr>
          <w:sz w:val="19"/>
        </w:rPr>
        <w:t>Zahnmedizin mit europäischen Studienteilnehmern, Methodologie auf deutsches Gesundheitssystem übertragbar</w:t>
      </w:r>
    </w:p>
    <w:p>
      <w:r>
        <w:rPr>
          <w:color w:val="5A7D3A"/>
          <w:sz w:val="18"/>
        </w:rPr>
        <w:t>https://pubmed.ncbi.nlm.nih.gov/42894220/</w:t>
      </w:r>
    </w:p>
    <w:p>
      <w:pPr>
        <w:pStyle w:val="Heading2"/>
      </w:pPr>
      <w:r>
        <w:t>Real-World Evidence aus EHR-Daten: KI-gestützte Auswertung von Dialysepatienten-Registern zur Optimierung der Anämiebehandlung</w:t>
      </w:r>
    </w:p>
    <w:p>
      <w:r>
        <w:rPr>
          <w:i/>
          <w:color w:val="666666"/>
          <w:sz w:val="18"/>
        </w:rPr>
        <w:t>Birnie K et al.  ·  Pharmacoepidemiol Drug Saf  ·  Nov. 2026  ·  PMID 42893801</w:t>
      </w:r>
    </w:p>
    <w:p>
      <w:r>
        <w:t>Retrospektive Real-World-Evidence-Studie mit EHR-Daten von UK-Nierenzentren (n=8.628, 2004–2016) zur Evaluation unterschiedlicher Hämoglobin-Ziele unter standardisiertem Darbepoetin-Protokoll mittels Machine Learning (clone-censor-weight).</w:t>
      </w:r>
    </w:p>
    <w:p>
      <w:r>
        <w:rPr>
          <w:b/>
        </w:rPr>
        <w:t xml:space="preserve">Ergebnis: </w:t>
      </w:r>
      <w:r>
        <w:t>Hazard Ratio für Mortalität bei Hämoglobin 105–125 g/L vs. 95–115 g/L: 0,92 (95% KI 0,75–1,12); bei &gt;125 g/L: 1,20 (95% KI 0,94–1,54). Moderate Hämoglobin-Ziele waren nicht mit erhöhter Mortalität assoziiert.</w:t>
      </w:r>
    </w:p>
    <w:p>
      <w:r>
        <w:rPr>
          <w:b/>
          <w:sz w:val="19"/>
        </w:rPr>
        <w:t xml:space="preserve">Übertragbarkeit: </w:t>
      </w:r>
      <w:r>
        <w:rPr>
          <w:sz w:val="19"/>
        </w:rPr>
        <w:t>Britisches Nierenregister, vergleichbare Sozialversicherung und Dokumentationspflichten wie Deutschland</w:t>
      </w:r>
    </w:p>
    <w:p>
      <w:r>
        <w:rPr>
          <w:color w:val="5A7D3A"/>
          <w:sz w:val="18"/>
        </w:rPr>
        <w:t>https://pubmed.ncbi.nlm.nih.gov/42893801/</w:t>
      </w:r>
    </w:p>
    <w:p>
      <w:pPr>
        <w:pStyle w:val="Heading2"/>
      </w:pPr>
      <w:r>
        <w:t>Cybersicherheit von Remote-Patient-Monitoring-Systemen in Klinikum: europäisches Observational-Protokoll</w:t>
      </w:r>
    </w:p>
    <w:p>
      <w:r>
        <w:rPr>
          <w:i/>
          <w:color w:val="666666"/>
          <w:sz w:val="18"/>
        </w:rPr>
        <w:t>Falcone M et al.  ·  JMIR Res Protoc  ·  05.10.2026  ·  PMID 42832774</w:t>
      </w:r>
    </w:p>
    <w:p>
      <w:r>
        <w:t>Deutsches Observational-Study-Protokoll zur systematischen Analyse der Cybersicherheit, Systemresilienz und Nutzerverhalten von IoMT-gestützten Remote-Patient-Monitoring-Systemen über deren gesamten Lebenszyklus in Klinik- und Homecare-Umgebung.</w:t>
      </w:r>
    </w:p>
    <w:p>
      <w:r>
        <w:rPr>
          <w:b/>
        </w:rPr>
        <w:t xml:space="preserve">Ergebnis: </w:t>
      </w:r>
      <w:r>
        <w:t>Studiendesign mit System-Log-Analytik, Phishing-Simulation, Patch-Management-Bewertung und Awareness-Messungen; Ethical Approval erhalten (Dezember 2025), Patientenrekrutierung ab April 2026, Ergebnisse erwartet Oktober 2027.</w:t>
      </w:r>
    </w:p>
    <w:p>
      <w:r>
        <w:rPr>
          <w:b/>
          <w:sz w:val="19"/>
        </w:rPr>
        <w:t xml:space="preserve">Übertragbarkeit: </w:t>
      </w:r>
      <w:r>
        <w:rPr>
          <w:sz w:val="19"/>
        </w:rPr>
        <w:t>Deutsches Krankenhaus (Italien), EU-Regulierungskontext mit KI-Verordnung und MDR</w:t>
      </w:r>
    </w:p>
    <w:p>
      <w:r>
        <w:rPr>
          <w:color w:val="5A7D3A"/>
          <w:sz w:val="18"/>
        </w:rPr>
        <w:t>https://pubmed.ncbi.nlm.nih.gov/42832774/</w:t>
      </w:r>
    </w:p>
    <w:p>
      <w:pPr>
        <w:pStyle w:val="Heading1"/>
      </w:pPr>
      <w:r>
        <w:t>Aufgenommen am 21.10.2026</w:t>
      </w:r>
    </w:p>
    <w:p>
      <w:pPr>
        <w:pStyle w:val="Heading2"/>
      </w:pPr>
      <w:r>
        <w:t>Patientenbeteiligung an EHR-Dokumentation: Kommentarfunktion verbessert Genauigkeit</w:t>
      </w:r>
    </w:p>
    <w:p>
      <w:r>
        <w:rPr>
          <w:i/>
          <w:color w:val="666666"/>
          <w:sz w:val="18"/>
        </w:rPr>
        <w:t>Hagström J et al.  ·  J Med Internet Res  ·  20.10.2026  ·  PMID 42901489</w:t>
      </w:r>
    </w:p>
    <w:p>
      <w:r>
        <w:t>Schwedische Studie zur Nutzung einer Kommentarfunktion in der Elektronischen Patientenakte durch Patienten – untersucht, wie Patienten klinische Notizen kommentieren und welche Potenziale dies für die Dokumentationsqualität hat.</w:t>
      </w:r>
    </w:p>
    <w:p>
      <w:r>
        <w:rPr>
          <w:b/>
        </w:rPr>
        <w:t xml:space="preserve">Ergebnis: </w:t>
      </w:r>
      <w:r>
        <w:t>Von 1.670 Kommentaren waren 99,1% inhaltlich relevant; 57,3% bezogen sich auf Inhalte jenseits der Notiz selbst; 55,6% hatten neutralen, 42,4% negativen Ton. Patienten mit psychiatrischen Einträgen hinterließen deutlich mehr Kommentare (Median 7 vs. 2; p&lt;0,001) mit höherer Negativrate (63,2% vs. 33,5%). Die Funktion birgt sowohl Chancen für Genauigkeit als auch Risiken, die durch absichtliches Design mitigiert werden müssen.</w:t>
      </w:r>
    </w:p>
    <w:p>
      <w:r>
        <w:rPr>
          <w:b/>
          <w:sz w:val="19"/>
        </w:rPr>
        <w:t xml:space="preserve">Übertragbarkeit: </w:t>
      </w:r>
      <w:r>
        <w:rPr>
          <w:sz w:val="19"/>
        </w:rPr>
        <w:t>Schweden, nationale EHR mit längerer Nutzungshistorie; Designprinzipien übertragbar auf deutsche EPA</w:t>
      </w:r>
    </w:p>
    <w:p>
      <w:r>
        <w:rPr>
          <w:color w:val="5A7D3A"/>
          <w:sz w:val="18"/>
        </w:rPr>
        <w:t>https://pubmed.ncbi.nlm.nih.gov/42901489/</w:t>
      </w:r>
    </w:p>
    <w:p>
      <w:pPr>
        <w:pStyle w:val="Heading2"/>
      </w:pPr>
      <w:r>
        <w:t>Workarounds bei der Einführung von integrierten Gesundheitsakten: Wie Nutzer Systeme anpassen</w:t>
      </w:r>
    </w:p>
    <w:p>
      <w:r>
        <w:rPr>
          <w:i/>
          <w:color w:val="666666"/>
          <w:sz w:val="18"/>
        </w:rPr>
        <w:t>Sai V et al.  ·  JMIR Med Inform  ·  20.10.2026  ·  PMID 42901487</w:t>
      </w:r>
    </w:p>
    <w:p>
      <w:r>
        <w:t>Qualitative Studie über 13 Jahre Evolution eines Informationssystems (Key Information Summary) in Schottland – untersucht, wie formale und informelle Nutzer-Workarounds die Adoption und lokale Anpassung eines Systems zur Informationsfreigabe zwischen Gesundheits- und Sozialdiensten prägen.</w:t>
      </w:r>
    </w:p>
    <w:p>
      <w:r>
        <w:rPr>
          <w:b/>
        </w:rPr>
        <w:t xml:space="preserve">Ergebnis: </w:t>
      </w:r>
      <w:r>
        <w:t>Analyse von 54 Interviews, 59 Dokumenten und 20 Stunden Beobachtung zeigt: Adoption variierte je Setting und Zeit durch Misalignment zwischen Systemdesign, erwarteten integrierten Versorgungszielen und COVID-19-Initiativen. Formale Workarounds erweiterten die Infrastruktur in nonclinische Settings; informelle Nutzer-Reparaturpraktiken ermöglichten flexible Anpassung. Professionelle Rollen und Informationsbedarf erzeugten Spannungen zwischen Nutzern und Systemeigentümern.</w:t>
      </w:r>
    </w:p>
    <w:p>
      <w:r>
        <w:rPr>
          <w:b/>
          <w:sz w:val="19"/>
        </w:rPr>
        <w:t xml:space="preserve">Übertragbarkeit: </w:t>
      </w:r>
      <w:r>
        <w:rPr>
          <w:sz w:val="19"/>
        </w:rPr>
        <w:t>Großbritannien/Schottland, vergleichbarer Versorgungsauftrag; Lessons zu Workarounds relevant für deutsche Digitalisierungsprojekte</w:t>
      </w:r>
    </w:p>
    <w:p>
      <w:r>
        <w:rPr>
          <w:color w:val="5A7D3A"/>
          <w:sz w:val="18"/>
        </w:rPr>
        <w:t>https://pubmed.ncbi.nlm.nih.gov/42901487/</w:t>
      </w:r>
    </w:p>
    <w:p>
      <w:pPr>
        <w:pStyle w:val="Heading2"/>
      </w:pPr>
      <w:r>
        <w:t>Machine Learning zur Vorhersage von Blutstrominfektionen bei Chemotherapiepatienten</w:t>
      </w:r>
    </w:p>
    <w:p>
      <w:r>
        <w:rPr>
          <w:i/>
          <w:color w:val="666666"/>
          <w:sz w:val="18"/>
        </w:rPr>
        <w:t>Villani Junior A et al.  ·  Support Care Cancer  ·  20.10.2026  ·  PMID 42900238</w:t>
      </w:r>
    </w:p>
    <w:p>
      <w:r>
        <w:t>Retrospektive Studie an 1.220 Krebspatienten mit 1.435 bestätigten Blutstrominfektionen (2017–2022) – nutzt Multi-Label-Klassifikation mit Machine Learning, um Risikofaktoren für verschiedene Resistenzphänotypen zu identifizieren und Entscheidungshilfen für empirische Therapie zu verbessern.</w:t>
      </w:r>
    </w:p>
    <w:p>
      <w:r>
        <w:rPr>
          <w:b/>
        </w:rPr>
        <w:t xml:space="preserve">Ergebnis: </w:t>
      </w:r>
      <w:r>
        <w:t>83,1% der Infektionen waren Non-MDRO oder pilzlich; 7,6% carbapenem-resistent. Beste Modellperformance für carbapenem-resistente Gram-negative Erreger (AUC-ROC 83,25%). Schlüsselprädiktor: Hospitalisierungstage, hämatologische Malignität, frühere MDRO-Infektion, Monozytopenie, palliative Chemotherapie. Chemotherapieklasse trug differenziell bei (z.B. Alkylanzien→Candidämie). Multi-Label-Ansatz half, komplexe Ätiologien zu differenzieren.</w:t>
      </w:r>
    </w:p>
    <w:p>
      <w:r>
        <w:rPr>
          <w:b/>
          <w:sz w:val="19"/>
        </w:rPr>
        <w:t xml:space="preserve">Übertragbarkeit: </w:t>
      </w:r>
      <w:r>
        <w:rPr>
          <w:sz w:val="19"/>
        </w:rPr>
        <w:t>Brasilien, spezialisiertes Krebszentrum; Methodik auf europäische Zentren übertragbar, aber institutsspezifische Epidemiologie beachten</w:t>
      </w:r>
    </w:p>
    <w:p>
      <w:r>
        <w:rPr>
          <w:color w:val="5A7D3A"/>
          <w:sz w:val="18"/>
        </w:rPr>
        <w:t>https://pubmed.ncbi.nlm.nih.gov/42900238/</w:t>
      </w:r>
    </w:p>
    <w:p>
      <w:pPr>
        <w:pStyle w:val="Heading2"/>
      </w:pPr>
      <w:r>
        <w:t>KI-gestützte Diabetische-Retinopathie-Screening: Von Algorithmen zu Versorgungseffekt und Equity</w:t>
      </w:r>
    </w:p>
    <w:p>
      <w:r>
        <w:rPr>
          <w:i/>
          <w:color w:val="666666"/>
          <w:sz w:val="18"/>
        </w:rPr>
        <w:t>Chen J et al.  ·  Front Public Health  ·  05.10.2026  ·  PMID 42898801</w:t>
      </w:r>
    </w:p>
    <w:p>
      <w:r>
        <w:t>Review zur Implementierung von KI-Screening für diabetische Retinopathie in der Versorgung – reframed die Frage von Algorithmusgenauigkeit auf die gesamte Kette Screening→Behandlung, mit Fokus auf Gleichberechtigung und Population Health Impact.</w:t>
      </w:r>
    </w:p>
    <w:p>
      <w:r>
        <w:rPr>
          <w:b/>
        </w:rPr>
        <w:t xml:space="preserve">Ergebnis: </w:t>
      </w:r>
      <w:r>
        <w:t>Diagnostische Genauigkeit allein garantiert keinen Gesundheitsnutzen. Vier-Domänen-Rahmen identifiziert: technische Validität, Serviceintegration, Populationseffekt und Equity/Nachhaltigkeit. Wichtige Faktoren: Erreichung der Zielgruppe, Bildqualität, Überweisungsabschluss, Behandlungskapazität, finanzielle/geografische Barrieren. Zukünftige Forschung sollte Vergleichsstudien zu Implementation und Equity-Outcomes priorisieren.</w:t>
      </w:r>
    </w:p>
    <w:p>
      <w:r>
        <w:rPr>
          <w:b/>
          <w:sz w:val="19"/>
        </w:rPr>
        <w:t xml:space="preserve">Übertragbarkeit: </w:t>
      </w:r>
      <w:r>
        <w:rPr>
          <w:sz w:val="19"/>
        </w:rPr>
        <w:t>China-basiert, aber Framework und Prinzipien universell; für Deutschland relevant zur Gesundheitspolitik der KI-Implementierung</w:t>
      </w:r>
    </w:p>
    <w:p>
      <w:r>
        <w:rPr>
          <w:color w:val="5A7D3A"/>
          <w:sz w:val="18"/>
        </w:rPr>
        <w:t>https://pubmed.ncbi.nlm.nih.gov/42898801/</w:t>
      </w:r>
    </w:p>
    <w:p>
      <w:pPr>
        <w:pStyle w:val="Heading2"/>
      </w:pPr>
      <w:r>
        <w:t>KI-Nutzung durch Kliniker in USA und UK: Lücke zwischen Bewusstsein und klinischer Praxis</w:t>
      </w:r>
    </w:p>
    <w:p>
      <w:r>
        <w:rPr>
          <w:i/>
          <w:color w:val="666666"/>
          <w:sz w:val="18"/>
        </w:rPr>
        <w:t>Sezgin E et al.  ·  JMIR Form Res  ·  19.10.2026  ·  PMID 42896135</w:t>
      </w:r>
    </w:p>
    <w:p>
      <w:r>
        <w:t>Querschnittsstudie mit 524 Fachkräften aus USA und UK zur aktuellen KI-Anwendung, Zugänglichkeit, Hürden und Adoptionsfaktoren in der Versorgung – untersucht, wie national und beruflich unterschiedlich KI-Tools genutzt werden.</w:t>
      </w:r>
    </w:p>
    <w:p>
      <w:r>
        <w:rPr>
          <w:b/>
        </w:rPr>
        <w:t xml:space="preserve">Ergebnis: </w:t>
      </w:r>
      <w:r>
        <w:t>KI-Nutzung war weit verbreitet, variierte aber stark je Fachgruppe und Land. Zentral für Adoption: belastbare Evidenz, organisatorische Unterstützung, Schulung, Datenschutz und klinische Workflow-Integration. Studie identifiziert Schlüsselhürden für verantwortungsvolle Implementierung.</w:t>
      </w:r>
    </w:p>
    <w:p>
      <w:r>
        <w:rPr>
          <w:b/>
          <w:sz w:val="19"/>
        </w:rPr>
        <w:t xml:space="preserve">Übertragbarkeit: </w:t>
      </w:r>
      <w:r>
        <w:rPr>
          <w:sz w:val="19"/>
        </w:rPr>
        <w:t>USA und Großbritannien; Erkenntnisse zu Adoptionsbarrieren strukturell und regulatorisch teilweise übertragbar, aber digitaler Reifegrad unterschiedlich</w:t>
      </w:r>
    </w:p>
    <w:p>
      <w:r>
        <w:rPr>
          <w:color w:val="5A7D3A"/>
          <w:sz w:val="18"/>
        </w:rPr>
        <w:t>https://pubmed.ncbi.nlm.nih.gov/42896135/</w:t>
      </w:r>
    </w:p>
    <w:p>
      <w:pPr>
        <w:pStyle w:val="Heading2"/>
      </w:pPr>
      <w:r>
        <w:t>KI-gestützte Remote-Überwachung bei Herzinsuffizienz: von Druckmessung zur adaptiven Versorgung</w:t>
      </w:r>
    </w:p>
    <w:p>
      <w:r>
        <w:rPr>
          <w:i/>
          <w:color w:val="666666"/>
          <w:sz w:val="18"/>
        </w:rPr>
        <w:t>Angermann CE et al.  ·  Curr Heart Fail Rep  ·  19.10.2026  ·  PMID 42895671</w:t>
      </w:r>
    </w:p>
    <w:p>
      <w:r>
        <w:t>Review zu Möglichkeiten, KI zur Personalisierung von Remote-Patient-Management bei Herzinsuffizienz einzusetzen – untersucht, wie implantierte Drucksensoren mit KI-gestützter Risikoschichtung und individualisierten Monitoring-Plänen Outcomes verbessern könnten.</w:t>
      </w:r>
    </w:p>
    <w:p>
      <w:r>
        <w:rPr>
          <w:b/>
        </w:rPr>
        <w:t xml:space="preserve">Ergebnis: </w:t>
      </w:r>
      <w:r>
        <w:t>Randomisierte Studien (CHAMPION, GUIDE-HF, MONITOR-HF) zeigen: Druckgesteuertes Management reduziert Hospitalisierungen signifikant, aber erhebliches Residualrisiko bleibt. KI könnte multidimensionale Phänotypisierung für Pre-Implant-Selektion, personalisierte klinische Entscheidungshilfe und dynamische Anpassung der Monitoring-Intensität ermöglichen – mit Potenzial für bessere Outcomes, weniger Aufwand, höhere Kosteneffektivität.</w:t>
      </w:r>
    </w:p>
    <w:p>
      <w:r>
        <w:rPr>
          <w:b/>
          <w:sz w:val="19"/>
        </w:rPr>
        <w:t xml:space="preserve">Übertragbarkeit: </w:t>
      </w:r>
      <w:r>
        <w:rPr>
          <w:sz w:val="19"/>
        </w:rPr>
        <w:t>Deutschland und Niederlande (Autoren), kardiale Versorgungsstruktur vergleichbar; praktische Implementierbarkeit abhängig von Infrastruktur</w:t>
      </w:r>
    </w:p>
    <w:p>
      <w:r>
        <w:rPr>
          <w:color w:val="5A7D3A"/>
          <w:sz w:val="18"/>
        </w:rPr>
        <w:t>https://pubmed.ncbi.nlm.nih.gov/42895671/</w:t>
      </w:r>
    </w:p>
    <w:p>
      <w:pPr>
        <w:pStyle w:val="Heading1"/>
      </w:pPr>
      <w:r>
        <w:t>Aufgenommen am 20.10.2026</w:t>
      </w:r>
    </w:p>
    <w:p>
      <w:pPr>
        <w:pStyle w:val="Heading2"/>
      </w:pPr>
      <w:r>
        <w:t>KI in psychiatrischer Praxis: Praktiker wollen AI nicht bei Diagnosen</w:t>
      </w:r>
    </w:p>
    <w:p>
      <w:r>
        <w:rPr>
          <w:i/>
          <w:color w:val="666666"/>
          <w:sz w:val="18"/>
        </w:rPr>
        <w:t>Alotaibi A et al.  ·  JMIR Ment Health  ·  19.10.2026  ·  PMID 42896178</w:t>
      </w:r>
    </w:p>
    <w:p>
      <w:r>
        <w:t>Qualitative Studie mit 18 Psychiatern zu ihrer Sichtweise auf KI-Einsatz über das gesamte therapeutische Spektrum (Diagnostik, Diagnose, Behandlung).</w:t>
      </w:r>
    </w:p>
    <w:p>
      <w:r>
        <w:rPr>
          <w:b/>
        </w:rPr>
        <w:t xml:space="preserve">Ergebnis: </w:t>
      </w:r>
      <w:r>
        <w:t>Praktiker sehen Mehrwert von KI bei Diagnostik und Behandlung, lehnen aber autonome KI-Diagnosen ab. Vier Design-Richtungen: (1) KI-Hubs für klinische Assessments, (2) NLP-Tools für Patientenperspektiven, (3) neue Vertrauensmodelle für Diagnose, (4) LLM-gestützte adaptive Unterstützung unter Wahrung menschlicher Partnerschaft. Kernaussage: KI als Validierungswerkzeug, nicht Ersatz.</w:t>
      </w:r>
    </w:p>
    <w:p>
      <w:r>
        <w:rPr>
          <w:b/>
          <w:sz w:val="19"/>
        </w:rPr>
        <w:t xml:space="preserve">Übertragbarkeit: </w:t>
      </w:r>
      <w:r>
        <w:rPr>
          <w:sz w:val="19"/>
        </w:rPr>
        <w:t>Großbritannien (Lancaster), Perspektive zur Implementierbarkeit nutzbar.</w:t>
      </w:r>
    </w:p>
    <w:p>
      <w:r>
        <w:rPr>
          <w:color w:val="5A7D3A"/>
          <w:sz w:val="18"/>
        </w:rPr>
        <w:t>https://pubmed.ncbi.nlm.nih.gov/42896178/</w:t>
      </w:r>
    </w:p>
    <w:p>
      <w:pPr>
        <w:pStyle w:val="Heading2"/>
      </w:pPr>
      <w:r>
        <w:t>Telemedizinische Stomapflege: verbesserte Selbstversorgung</w:t>
      </w:r>
    </w:p>
    <w:p>
      <w:r>
        <w:rPr>
          <w:i/>
          <w:color w:val="666666"/>
          <w:sz w:val="18"/>
        </w:rPr>
        <w:t>Korkmaz E et al.  ·  Nurs Open  ·  Okt. 2026  ·  PMID 42896164</w:t>
      </w:r>
    </w:p>
    <w:p>
      <w:r>
        <w:t>Qualitative Studie mit 7 Patienten mit Stoma, die Telemedizin-Pflege von privater Anbieter erhielten; Erfahrungen mit Produktverwaltung und Pflegeanleitung.</w:t>
      </w:r>
    </w:p>
    <w:p>
      <w:r>
        <w:rPr>
          <w:b/>
        </w:rPr>
        <w:t xml:space="preserve">Ergebnis: </w:t>
      </w:r>
      <w:r>
        <w:t>Patienten berichteten praktische, zeitnahe und personalisierte Unterstützung bei Adapter-Undichtigkeiten, Hautkomplikationen und Wundbeurteilung. Reduced hospital visits, gefühlte Sicherheit und Zufriedenheit. Telemedizin-Pflege als primäre, vertrauenswürdige Informationsquelle. Weiterführung könnte Versorgungskontinuität stärken, klinische Outcomes aber im Design nicht messbar.</w:t>
      </w:r>
    </w:p>
    <w:p>
      <w:r>
        <w:rPr>
          <w:b/>
          <w:sz w:val="19"/>
        </w:rPr>
        <w:t xml:space="preserve">Übertragbarkeit: </w:t>
      </w:r>
      <w:r>
        <w:rPr>
          <w:sz w:val="19"/>
        </w:rPr>
        <w:t>Türkei, ähnliche Versorgungskontexte in Europa, Generalisierbarkeit begrenzt.</w:t>
      </w:r>
    </w:p>
    <w:p>
      <w:r>
        <w:rPr>
          <w:color w:val="5A7D3A"/>
          <w:sz w:val="18"/>
        </w:rPr>
        <w:t>https://pubmed.ncbi.nlm.nih.gov/42896164/</w:t>
      </w:r>
    </w:p>
    <w:p>
      <w:pPr>
        <w:pStyle w:val="Heading2"/>
      </w:pPr>
      <w:r>
        <w:t>KI-Entscheidungsunterstuetzung in Hausarztpraxen: systematische Uebersicht</w:t>
      </w:r>
    </w:p>
    <w:p>
      <w:r>
        <w:rPr>
          <w:i/>
          <w:color w:val="666666"/>
          <w:sz w:val="18"/>
        </w:rPr>
        <w:t>Naye F et al.  ·  J Med Internet Res  ·  19.10.2026  ·  PMID 42896153</w:t>
      </w:r>
    </w:p>
    <w:p>
      <w:r>
        <w:t>Systematische Übersicht von 14 Studien zu KI-gestützten Entscheidungssystemen (AI-CDSS) in der Primärversorgung gegenüber Standardbehandlung oder nicht-KI-Systemen.</w:t>
      </w:r>
    </w:p>
    <w:p>
      <w:r>
        <w:rPr>
          <w:b/>
        </w:rPr>
        <w:t xml:space="preserve">Ergebnis: </w:t>
      </w:r>
      <w:r>
        <w:t>AI-CDSS zeigten konsistentere positive Effekte auf Workflow-Outcomes in strukturierten Kontexten (Screening, Überweisungen, Alertoptimierung). Patienteneffekte waren begrenzt und inkonsistent. Sicherheitsbewertung selten (nur 2 Studien mit vordefinierten Sicherheits-Outcomes). Hoches bis kritisches Bias-Risiko in allen Studien.</w:t>
      </w:r>
    </w:p>
    <w:p>
      <w:r>
        <w:rPr>
          <w:b/>
          <w:sz w:val="19"/>
        </w:rPr>
        <w:t xml:space="preserve">Übertragbarkeit: </w:t>
      </w:r>
      <w:r>
        <w:rPr>
          <w:sz w:val="19"/>
        </w:rPr>
        <w:t>Hocheinkommensländer, keine robusten Implementierungsnachweise.</w:t>
      </w:r>
    </w:p>
    <w:p>
      <w:r>
        <w:rPr>
          <w:color w:val="5A7D3A"/>
          <w:sz w:val="18"/>
        </w:rPr>
        <w:t>https://pubmed.ncbi.nlm.nih.gov/42896153/</w:t>
      </w:r>
    </w:p>
    <w:p>
      <w:pPr>
        <w:pStyle w:val="Heading2"/>
      </w:pPr>
      <w:r>
        <w:t>KI-gestuetzte Triage in der Notaufnahme: Metaanalyse</w:t>
      </w:r>
    </w:p>
    <w:p>
      <w:r>
        <w:rPr>
          <w:i/>
          <w:color w:val="666666"/>
          <w:sz w:val="18"/>
        </w:rPr>
        <w:t>Ashour FOM et al.  ·  J Med Internet Res  ·  19.10.2026  ·  PMID 42896140</w:t>
      </w:r>
    </w:p>
    <w:p>
      <w:r>
        <w:t>Systematische Übersicht mit Metaanalyse von 27 Studien zu KI- und ML-unterstützter Triage in Notaufnahmen gegenüber konventioneller Triage oder telemedizinischen Ansätzen.</w:t>
      </w:r>
    </w:p>
    <w:p>
      <w:r>
        <w:rPr>
          <w:b/>
        </w:rPr>
        <w:t xml:space="preserve">Ergebnis: </w:t>
      </w:r>
      <w:r>
        <w:t>Vier Studien zu kritischen Verschlechterungen zeigten gepoolte AUC 0,874 (95% KI 0,845–0,898). AI-Modelle in Aufnahme-Dispositionen: AUC 0,80–0,93. Szenario-Modellierung: Pro 10.000 ED-Besuche 12–38 weniger übersehene kritische Erkrankungen, aber 45–120 zusätzliche falsch-positive Eskalationen. Externe Validierung limitiert.</w:t>
      </w:r>
    </w:p>
    <w:p>
      <w:r>
        <w:rPr>
          <w:b/>
          <w:sz w:val="19"/>
        </w:rPr>
        <w:t xml:space="preserve">Übertragbarkeit: </w:t>
      </w:r>
      <w:r>
        <w:rPr>
          <w:sz w:val="19"/>
        </w:rPr>
        <w:t>Überwiegend Hocheinkommensländer, wenig pädiatrische Evidenz.</w:t>
      </w:r>
    </w:p>
    <w:p>
      <w:r>
        <w:rPr>
          <w:color w:val="5A7D3A"/>
          <w:sz w:val="18"/>
        </w:rPr>
        <w:t>https://pubmed.ncbi.nlm.nih.gov/42896140/</w:t>
      </w:r>
    </w:p>
    <w:p>
      <w:pPr>
        <w:pStyle w:val="Heading2"/>
      </w:pPr>
      <w:r>
        <w:t>AI-Vorhersage von Herzstillstand auf Normalstationen: pragmatische RCT-Studie</w:t>
      </w:r>
    </w:p>
    <w:p>
      <w:r>
        <w:rPr>
          <w:i/>
          <w:color w:val="666666"/>
          <w:sz w:val="18"/>
        </w:rPr>
        <w:t>Kim M et al.  ·  JMIR Res Protoc  ·  19.10.2026  ·  PMID 42895816</w:t>
      </w:r>
    </w:p>
    <w:p>
      <w:r>
        <w:t>Pragmatische Stepped-Wedge-RCT in vier südkoreanischen Universitätskliniken zur Wirkung eines KI-Systems (DeepCARS) auf die Inzidenz von Herzstillständen auf Normalstationen.</w:t>
      </w:r>
    </w:p>
    <w:p>
      <w:r>
        <w:rPr>
          <w:b/>
        </w:rPr>
        <w:t xml:space="preserve">Ergebnis: </w:t>
      </w:r>
      <w:r>
        <w:t>Studienprotokoll. Primärer Endpunkt: Inzidenz innerklinischer Herzstillstände auf Normalstationen. Zielstichprobe ~7.000 Patienten mit Alertschwelle überschritten, Gesamtenrollement ~72.695. Studienperiode April 2025–März 2026 abgeschlossen, primäre Ergebnisse für 2027 erwartet.</w:t>
      </w:r>
    </w:p>
    <w:p>
      <w:r>
        <w:rPr>
          <w:b/>
          <w:sz w:val="19"/>
        </w:rPr>
        <w:t xml:space="preserve">Übertragbarkeit: </w:t>
      </w:r>
      <w:r>
        <w:rPr>
          <w:sz w:val="19"/>
        </w:rPr>
        <w:t>Südkorea, Pragmatismus-Design bringt externe Validität, aber keine Ergebnisse verfügbar.</w:t>
      </w:r>
    </w:p>
    <w:p>
      <w:r>
        <w:rPr>
          <w:color w:val="5A7D3A"/>
          <w:sz w:val="18"/>
        </w:rPr>
        <w:t>https://pubmed.ncbi.nlm.nih.gov/42895816/</w:t>
      </w:r>
    </w:p>
    <w:p>
      <w:pPr>
        <w:pStyle w:val="Heading2"/>
      </w:pPr>
      <w:r>
        <w:t>App zur Deprescribing: PPI-Absetzen signifikant verbessert</w:t>
      </w:r>
    </w:p>
    <w:p>
      <w:r>
        <w:rPr>
          <w:i/>
          <w:color w:val="666666"/>
          <w:sz w:val="18"/>
        </w:rPr>
        <w:t>Koggel LM et al.  ·  United European Gastroenterol J  ·  Okt. 2026  ·  PMID 42894466</w:t>
      </w:r>
    </w:p>
    <w:p>
      <w:r>
        <w:t>Randomisierte Studie zur Wirkung einer App auf das Absetzen unnötiger Langzeit-Protonenpumpenhemmer in niederländischen Kliniken.</w:t>
      </w:r>
    </w:p>
    <w:p>
      <w:r>
        <w:rPr>
          <w:b/>
        </w:rPr>
        <w:t xml:space="preserve">Ergebnis: </w:t>
      </w:r>
      <w:r>
        <w:t>86% der App-Gruppe setzten PPIs ab vs. 64% der Kontrollgruppe (RR 1,34; 95% KI 1,11–1,61; p=0,002). Unerwünschte Ereignisse waren gering (15% vs. 14%). App-basierte Intervention zeigt signifikante Überlegenheit gegenüber Informationsbroschüre.</w:t>
      </w:r>
    </w:p>
    <w:p>
      <w:r>
        <w:rPr>
          <w:b/>
          <w:sz w:val="19"/>
        </w:rPr>
        <w:t xml:space="preserve">Übertragbarkeit: </w:t>
      </w:r>
      <w:r>
        <w:rPr>
          <w:sz w:val="19"/>
        </w:rPr>
        <w:t>Niederlande, vergleichbares Versicherungssystem, direkt anwendbar.</w:t>
      </w:r>
    </w:p>
    <w:p>
      <w:r>
        <w:rPr>
          <w:color w:val="5A7D3A"/>
          <w:sz w:val="18"/>
        </w:rPr>
        <w:t>https://pubmed.ncbi.nlm.nih.gov/42894466/</w:t>
      </w:r>
    </w:p>
    <w:p>
      <w:pPr>
        <w:pStyle w:val="Heading1"/>
      </w:pPr>
      <w:r>
        <w:t>Aufgenommen am 19.10.2026</w:t>
      </w:r>
    </w:p>
    <w:p>
      <w:pPr>
        <w:pStyle w:val="Heading2"/>
      </w:pPr>
      <w:r>
        <w:t>Ärztliche Wahrnehmung von digitaler Entscheidungsunterstützung: Ressourcenschonung</w:t>
      </w:r>
    </w:p>
    <w:p>
      <w:r>
        <w:rPr>
          <w:i/>
          <w:color w:val="666666"/>
          <w:sz w:val="18"/>
        </w:rPr>
        <w:t>West G et al.  ·  Ulster Med J  ·  19.10.2026  ·  PMID 42893089</w:t>
      </w:r>
    </w:p>
    <w:p>
      <w:r>
        <w:t>In einer britischen Online-Befragung wurden 105 Assistenzärzte (Rücklaufquote 62%) befragt, wie digitale Clinical-Decision-Support-Systeme (CDSS) ihre Entscheidungen zu unnötigen Tests, Überweisungen und stationären Aufnahmen beeinflussen.</w:t>
      </w:r>
    </w:p>
    <w:p>
      <w:r>
        <w:rPr>
          <w:b/>
        </w:rPr>
        <w:t xml:space="preserve">Ergebnis: </w:t>
      </w:r>
      <w:r>
        <w:t>72% der Ärzte stimmten zu, dass CDSS ihnen beim Vermeiden unnötiger Untersuchungen oder Behandlungen hilft; 42% berichten Vermeidung unnötiger Überweisungen, 31% Reduktion der Krankenhausverweildauer. Assistenzärzte bewerten CDSS als unterstützendes Werkzeug für Ressourceneffizienz.</w:t>
      </w:r>
    </w:p>
    <w:p>
      <w:r>
        <w:rPr>
          <w:b/>
          <w:sz w:val="19"/>
        </w:rPr>
        <w:t xml:space="preserve">Übertragbarkeit: </w:t>
      </w:r>
      <w:r>
        <w:rPr>
          <w:sz w:val="19"/>
        </w:rPr>
        <w:t>Großbritannien, aber Eigenwahrnehmung ohne objektive Messung von Ressourceneffekten – Generalisierbarkeit begrenzt.</w:t>
      </w:r>
    </w:p>
    <w:p>
      <w:r>
        <w:rPr>
          <w:color w:val="5A7D3A"/>
          <w:sz w:val="18"/>
        </w:rPr>
        <w:t>https://pubmed.ncbi.nlm.nih.gov/42893089/</w:t>
      </w:r>
    </w:p>
    <w:p>
      <w:pPr>
        <w:pStyle w:val="Heading2"/>
      </w:pPr>
      <w:r>
        <w:t>Sprachmodelle für Darmkrebsscreening: KI-gestützte Ansprache gegen Teilnahmequoten-Lücke</w:t>
      </w:r>
    </w:p>
    <w:p>
      <w:r>
        <w:rPr>
          <w:i/>
          <w:color w:val="666666"/>
          <w:sz w:val="18"/>
        </w:rPr>
        <w:t>Goiana-da-Silva F et al.  ·  Front Public Health  ·  30.09.2026  ·  PMID 42877195</w:t>
      </w:r>
    </w:p>
    <w:p>
      <w:r>
        <w:t>In Portugal wurde untersucht, ob conversational AI (LLM-basiert) mit Telefon- und Chatfunktionen die Adhärenz beim Darmkrebsscreening verbessern kann, wo aktuell nur 30,3% der Bevölkerung der Azoren teilnimmt.</w:t>
      </w:r>
    </w:p>
    <w:p>
      <w:r>
        <w:rPr>
          <w:b/>
        </w:rPr>
        <w:t xml:space="preserve">Ergebnis: </w:t>
      </w:r>
      <w:r>
        <w:t>Modellierung zeigt, dass gezielt eingesetzte Voice-KI bei einer Region mit extrem niedriger Teilnahme (30,3% vs. &gt;50% Ziel) ein vielversprechendes Werkzeug für dialogische Barrierenabbau darstellt; konkrete klinische Effekte liegen noch nicht vor (Perspektive-Artikel mit Modellierungsrahmen).</w:t>
      </w:r>
    </w:p>
    <w:p>
      <w:r>
        <w:rPr>
          <w:b/>
          <w:sz w:val="19"/>
        </w:rPr>
        <w:t xml:space="preserve">Übertragbarkeit: </w:t>
      </w:r>
      <w:r>
        <w:rPr>
          <w:sz w:val="19"/>
        </w:rPr>
        <w:t>Portugiesische Kontext, EU-Gesundheitssystem, aber erst theoretisches Modell – reale Evaluierung ausstehend.</w:t>
      </w:r>
    </w:p>
    <w:p>
      <w:r>
        <w:rPr>
          <w:color w:val="5A7D3A"/>
          <w:sz w:val="18"/>
        </w:rPr>
        <w:t>https://pubmed.ncbi.nlm.nih.gov/42877195/</w:t>
      </w:r>
    </w:p>
    <w:p>
      <w:pPr>
        <w:pStyle w:val="Heading2"/>
      </w:pPr>
      <w:r>
        <w:t>Machine Learning zur Vorhersage von Therapieansprechen: Brustkrebs nach Chemotherapie</w:t>
      </w:r>
    </w:p>
    <w:p>
      <w:r>
        <w:rPr>
          <w:i/>
          <w:color w:val="666666"/>
          <w:sz w:val="18"/>
        </w:rPr>
        <w:t>Reisig E et al.  ·  BMC Cancer  ·  08.10.2026  ·  PMID 42875758</w:t>
      </w:r>
    </w:p>
    <w:p>
      <w:r>
        <w:t>An der Universitätsklinik Heidelberg wurden klinische und bildgebende Daten (Ultraschall, Mammographie, MRT) von 388 Patientinnen mit neoadjuvanter Chemotherapie kombiniert, um mittels elastischer Netzregression die pathologische Komplettremission vorherzusagen.</w:t>
      </w:r>
    </w:p>
    <w:p>
      <w:r>
        <w:rPr>
          <w:b/>
        </w:rPr>
        <w:t xml:space="preserve">Ergebnis: </w:t>
      </w:r>
      <w:r>
        <w:t>Das Modell erreichte in der internen Validierung eine AUC von 0,76, eine Falsch-positiv-Rate von 8,7% und einen positiven Vorhersagewert von 75%. Die Kombination von Bildgebung und klinisch-pathologischen Merkmalen zeigt vielversprechende Diskriminationsfähigkeit.</w:t>
      </w:r>
    </w:p>
    <w:p>
      <w:r>
        <w:rPr>
          <w:b/>
          <w:sz w:val="19"/>
        </w:rPr>
        <w:t xml:space="preserve">Übertragbarkeit: </w:t>
      </w:r>
      <w:r>
        <w:rPr>
          <w:sz w:val="19"/>
        </w:rPr>
        <w:t>Deutsche Einzelklinik, Routinedaten, direkt auf hiesige Strukturen übertragbar.</w:t>
      </w:r>
    </w:p>
    <w:p>
      <w:r>
        <w:rPr>
          <w:color w:val="5A7D3A"/>
          <w:sz w:val="18"/>
        </w:rPr>
        <w:t>https://pubmed.ncbi.nlm.nih.gov/42875758/</w:t>
      </w:r>
    </w:p>
    <w:p>
      <w:pPr>
        <w:pStyle w:val="Heading2"/>
      </w:pPr>
      <w:r>
        <w:t>Automatische Zahnstatus-Analyse: Deep Learning für Panorama-Röntgen</w:t>
      </w:r>
    </w:p>
    <w:p>
      <w:r>
        <w:rPr>
          <w:i/>
          <w:color w:val="666666"/>
          <w:sz w:val="18"/>
        </w:rPr>
        <w:t>Saravi B et al.  ·  Clin Oral Investig  ·  15.10.2026  ·  PMID 42875660</w:t>
      </w:r>
    </w:p>
    <w:p>
      <w:r>
        <w:t>An zwei deutschen Universitätskliniken (Düsseldorf, Würzburg) wurde eine Deep-Learning-Pipeline zur automatisierten Klassifikation von Zahnstatus (DMFT-Score) auf Panorama-Röntgenbildern entwickelt und an 100 externen Bildern validiert.</w:t>
      </w:r>
    </w:p>
    <w:p>
      <w:r>
        <w:rPr>
          <w:b/>
        </w:rPr>
        <w:t xml:space="preserve">Ergebnis: </w:t>
      </w:r>
      <w:r>
        <w:t>Die Pipeline erreichte eine Intraklassen-Korrelation von 0,84 (Referenz: 0,88 zwischen zwei Zahnärzten) und einen mittleren absoluten Fehler von 2,38, war aber bei kariösen Zähnen unzuverlässig (r=0,34 vs. r=0,16 zwischen Zahnärzten). Autoren klassifizieren das System als Forschungswerkzeug, nicht als klinisches Entscheidungshilfesystem.</w:t>
      </w:r>
    </w:p>
    <w:p>
      <w:r>
        <w:rPr>
          <w:b/>
          <w:sz w:val="19"/>
        </w:rPr>
        <w:t xml:space="preserve">Übertragbarkeit: </w:t>
      </w:r>
      <w:r>
        <w:rPr>
          <w:sz w:val="19"/>
        </w:rPr>
        <w:t>Deutsche Daten, externe Validierung, aber ohne klinische Anwendungsreife – noch nicht entscheidungsunterstützend.</w:t>
      </w:r>
    </w:p>
    <w:p>
      <w:r>
        <w:rPr>
          <w:color w:val="5A7D3A"/>
          <w:sz w:val="18"/>
        </w:rPr>
        <w:t>https://pubmed.ncbi.nlm.nih.gov/42875660/</w:t>
      </w:r>
    </w:p>
    <w:p>
      <w:pPr>
        <w:pStyle w:val="Heading2"/>
      </w:pPr>
      <w:r>
        <w:t>Digitale Resilienzförderung in der Perinatalmedizin: Schwedische RCT-Studie</w:t>
      </w:r>
    </w:p>
    <w:p>
      <w:r>
        <w:rPr>
          <w:i/>
          <w:color w:val="666666"/>
          <w:sz w:val="18"/>
        </w:rPr>
        <w:t>Löf M et al.  ·  BMC Public Health  ·  03.10.2026  ·  PMID 42870238</w:t>
      </w:r>
    </w:p>
    <w:p>
      <w:r>
        <w:t>In Schweden wird in einer RCT mit 440 schwangeren Frauen geprüft, ob eine auf positive Psychologie, Selbstmitgefühl und partizipativer Designentwicklung basierende App die psychische Resilienz vom 2. Trimester bis 8 Wochen postpartum verbessert.</w:t>
      </w:r>
    </w:p>
    <w:p>
      <w:r>
        <w:rPr>
          <w:b/>
        </w:rPr>
        <w:t xml:space="preserve">Ergebnis: </w:t>
      </w:r>
      <w:r>
        <w:t>Dies ist ein Studienprotokoll ohne Ergebnisse; geplante primäre Outcome ist psychische Resilienz, sekundäre Outcomes sind Wohlbefinden und depressive Symptome. Randomisierung ab gestational week 12–14, Nachverfolgung bis 8 Wochen postpartum.</w:t>
      </w:r>
    </w:p>
    <w:p>
      <w:r>
        <w:rPr>
          <w:b/>
          <w:sz w:val="19"/>
        </w:rPr>
        <w:t xml:space="preserve">Übertragbarkeit: </w:t>
      </w:r>
      <w:r>
        <w:rPr>
          <w:sz w:val="19"/>
        </w:rPr>
        <w:t>Skandinavien (höherer Digitalisierungsgrad), aber Protokoll ohne Resultate – erst bei Datenveröffentlichung relevant.</w:t>
      </w:r>
    </w:p>
    <w:p>
      <w:r>
        <w:rPr>
          <w:color w:val="5A7D3A"/>
          <w:sz w:val="18"/>
        </w:rPr>
        <w:t>https://pubmed.ncbi.nlm.nih.gov/42870238/</w:t>
      </w:r>
    </w:p>
    <w:p>
      <w:pPr>
        <w:pStyle w:val="Heading2"/>
      </w:pPr>
      <w:r>
        <w:t>Machine Learning zur frühen Asthma-Vorhersage: Dänische Geburtskohorten-Studie</w:t>
      </w:r>
    </w:p>
    <w:p>
      <w:r>
        <w:rPr>
          <w:i/>
          <w:color w:val="666666"/>
          <w:sz w:val="18"/>
        </w:rPr>
        <w:t>Skov FR et al.  ·  Pediatr Allergy Immunol  ·  Okt. 2026  ·  PMID 42851161</w:t>
      </w:r>
    </w:p>
    <w:p>
      <w:r>
        <w:t>In der dänischen COPSAC-Kohorte wurden 411 Kinder mit 113 frühen klinischen, genetischen, immunologischen und lungenfunktionalen Merkmalen analysiert; fünf ML-Modelle sollten persistentes Asthma oder allergische Rhinitis vorhersagen.</w:t>
      </w:r>
    </w:p>
    <w:p>
      <w:r>
        <w:rPr>
          <w:b/>
        </w:rPr>
        <w:t xml:space="preserve">Ergebnis: </w:t>
      </w:r>
      <w:r>
        <w:t>Alle Modelle zeigten schwache Vorhersagekraft (maximale AUC 0,63 für persistierende Rhinitis vs. Kontrollen, 0,59 für persistierendes Asthma). Biologisch plausible Features (Allergen-Sensibilisierung, genetische Veranlagung) identifiziert, aber keine diskriminativen Leistung – frühe Daten allein reichen nicht für individuelle Prognose.</w:t>
      </w:r>
    </w:p>
    <w:p>
      <w:r>
        <w:rPr>
          <w:b/>
          <w:sz w:val="19"/>
        </w:rPr>
        <w:t xml:space="preserve">Übertragbarkeit: </w:t>
      </w:r>
      <w:r>
        <w:rPr>
          <w:sz w:val="19"/>
        </w:rPr>
        <w:t>Dänemark, hochwertige Kohorten, aber negatives Ergebnis – Prädiktoren mit frühen Daten allein unzureichend.</w:t>
      </w:r>
    </w:p>
    <w:p>
      <w:r>
        <w:rPr>
          <w:color w:val="5A7D3A"/>
          <w:sz w:val="18"/>
        </w:rPr>
        <w:t>https://pubmed.ncbi.nlm.nih.gov/42851161/</w:t>
      </w:r>
    </w:p>
    <w:p>
      <w:pPr>
        <w:pStyle w:val="Heading1"/>
      </w:pPr>
      <w:r>
        <w:t>Aufgenommen am 18.10.2026</w:t>
      </w:r>
    </w:p>
    <w:p>
      <w:pPr>
        <w:pStyle w:val="Heading2"/>
      </w:pPr>
      <w:r>
        <w:t>Digitale Information in der Palliativversorgung: Chancen und Umsetzungsvoraussetzungen</w:t>
      </w:r>
    </w:p>
    <w:p>
      <w:r>
        <w:rPr>
          <w:i/>
          <w:color w:val="666666"/>
          <w:sz w:val="18"/>
        </w:rPr>
        <w:t>Weisser A et al.  ·  BMC Palliat Care  ·  16.10.2026  ·  PMID 42888399</w:t>
      </w:r>
    </w:p>
    <w:p>
      <w:r>
        <w:t>Qualitative Studie mit acht Fachpersonen und drei informellen Pflegepersonen zu Barrieren und Chancen digitaler Technologien in der spezialisierten Palliativversorgung zu Hause in Deutschland.</w:t>
      </w:r>
    </w:p>
    <w:p>
      <w:r>
        <w:rPr>
          <w:b/>
        </w:rPr>
        <w:t xml:space="preserve">Ergebnis: </w:t>
      </w:r>
      <w:r>
        <w:t>Befragte beschrieben die Versorgung als holistische und funktionstüchtig, aber mit fragmentierten Kommunikationswegen und Datenverwaltung. Informelle Pflegepersonen agieren häufig als Informationsvermittler und tragen erhebliche organisatorische Last. Beide Gruppen sahen in zentralisierter digitaler Informationsaustausch Hauptchance zur Entlastung.</w:t>
      </w:r>
    </w:p>
    <w:p>
      <w:r>
        <w:rPr>
          <w:b/>
          <w:sz w:val="19"/>
        </w:rPr>
        <w:t xml:space="preserve">Übertragbarkeit: </w:t>
      </w:r>
      <w:r>
        <w:rPr>
          <w:sz w:val="19"/>
        </w:rPr>
        <w:t>Deutschland, spezialisierte Palliativversorgung, direkt übertragbar auf deutsches System</w:t>
      </w:r>
    </w:p>
    <w:p>
      <w:r>
        <w:rPr>
          <w:color w:val="5A7D3A"/>
          <w:sz w:val="18"/>
        </w:rPr>
        <w:t>https://pubmed.ncbi.nlm.nih.gov/42888399/</w:t>
      </w:r>
    </w:p>
    <w:p>
      <w:pPr>
        <w:pStyle w:val="Heading1"/>
      </w:pPr>
      <w:r>
        <w:t>Aufgenommen am 17.10.2026</w:t>
      </w:r>
    </w:p>
    <w:p>
      <w:pPr>
        <w:pStyle w:val="Heading2"/>
      </w:pPr>
      <w:r>
        <w:t>Spracherkennung für Klinikdokumentation: Vergleich dreier Ambient-Listening-Systeme</w:t>
      </w:r>
    </w:p>
    <w:p>
      <w:r>
        <w:rPr>
          <w:i/>
          <w:color w:val="666666"/>
          <w:sz w:val="18"/>
        </w:rPr>
        <w:t>Hoekman AH et al.  ·  JMIR Med Inform  ·  16.10.2026  ·  PMID 42887000</w:t>
      </w:r>
    </w:p>
    <w:p>
      <w:r>
        <w:t>Vergleich von drei kommerziellen KI-Systemen zur automatischen Dokumentation von Arzt-Patienten-Gesprächen im Niederländischen unter verschiedenen Kommunikationsschwierigkeiten.</w:t>
      </w:r>
    </w:p>
    <w:p>
      <w:r>
        <w:rPr>
          <w:b/>
        </w:rPr>
        <w:t xml:space="preserve">Ergebnis: </w:t>
      </w:r>
      <w:r>
        <w:t>Provider 3 erreichte höchste Gesamtscores (4,26/5), Provider 2 (4,00/5), Provider 1 (3,82/5); Korrektheit erzielte höchste Werte (4,21/5), Vollständigkeit niedrigste (3,81/5); Szenarios mit Dialekt zeigten niedrigere Scores (3,77/5); Zusammenfassungszeit 13,5 bis 22 Sekunden. Systeme funktionierten robust, aber mit Variationen bei herausfordernden Szenarien.</w:t>
      </w:r>
    </w:p>
    <w:p>
      <w:r>
        <w:rPr>
          <w:b/>
          <w:sz w:val="19"/>
        </w:rPr>
        <w:t xml:space="preserve">Übertragbarkeit: </w:t>
      </w:r>
      <w:r>
        <w:rPr>
          <w:sz w:val="19"/>
        </w:rPr>
        <w:t>Niederländische Klinikdaten in vergleichbarem europäischem Gesundheitssystem, Anforderungen an mehrsprachige Robustheit übertragbar.</w:t>
      </w:r>
    </w:p>
    <w:p>
      <w:r>
        <w:rPr>
          <w:color w:val="5A7D3A"/>
          <w:sz w:val="18"/>
        </w:rPr>
        <w:t>https://pubmed.ncbi.nlm.nih.gov/42887000/</w:t>
      </w:r>
    </w:p>
    <w:p>
      <w:pPr>
        <w:pStyle w:val="Heading2"/>
      </w:pPr>
      <w:r>
        <w:t>Digitale Harninkontinenz-App: Barrieren und Implementierungsstrategien in der Hausarztpraxis</w:t>
      </w:r>
    </w:p>
    <w:p>
      <w:r>
        <w:rPr>
          <w:i/>
          <w:color w:val="666666"/>
          <w:sz w:val="18"/>
        </w:rPr>
        <w:t>Lambooij AC et al.  ·  Fam Pract  ·  06.10.2026  ·  PMID 42885942</w:t>
      </w:r>
    </w:p>
    <w:p>
      <w:r>
        <w:t>Qualitative Befragung zur Identifikation von Barrieren für die Einführung einer evidenzbasierten Smartphone-App (URinControl) in niederländischen Hausarztpraxen und Apotheken.</w:t>
      </w:r>
    </w:p>
    <w:p>
      <w:r>
        <w:rPr>
          <w:b/>
        </w:rPr>
        <w:t xml:space="preserve">Ergebnis: </w:t>
      </w:r>
      <w:r>
        <w:t>174 Fachkräfte befragt; Hauptbarrieren: Zweifel am Mehrwert der App, unzureichende Kenntnisse über Inkontinenz und App, organisatorische Hürden, geringe digitale Patientenfähigkeiten; in Apotheken zusätzlich: begrenzte Möglichkeiten zur Inkontinenzberatung und Finanzierungssorgen. Fünf tailored Implementierungsstrategien entwickelt.</w:t>
      </w:r>
    </w:p>
    <w:p>
      <w:r>
        <w:rPr>
          <w:b/>
          <w:sz w:val="19"/>
        </w:rPr>
        <w:t xml:space="preserve">Übertragbarkeit: </w:t>
      </w:r>
      <w:r>
        <w:rPr>
          <w:sz w:val="19"/>
        </w:rPr>
        <w:t>Niederländische Primärversorgung, vergleichbare Versicherungsstrukturen und Dokumentationspflichten wie Deutschland.</w:t>
      </w:r>
    </w:p>
    <w:p>
      <w:r>
        <w:rPr>
          <w:color w:val="5A7D3A"/>
          <w:sz w:val="18"/>
        </w:rPr>
        <w:t>https://pubmed.ncbi.nlm.nih.gov/42885942/</w:t>
      </w:r>
    </w:p>
    <w:p>
      <w:pPr>
        <w:pStyle w:val="Heading2"/>
      </w:pPr>
      <w:r>
        <w:t>KI-gestützte Wundgrößenmessung per Telemedizin: Genauigkeit und Arztvergleich</w:t>
      </w:r>
    </w:p>
    <w:p>
      <w:r>
        <w:rPr>
          <w:i/>
          <w:color w:val="666666"/>
          <w:sz w:val="18"/>
        </w:rPr>
        <w:t>Dege T et al.  ·  Int Wound J  ·  Okt. 2026  ·  PMID 42885306</w:t>
      </w:r>
    </w:p>
    <w:p>
      <w:r>
        <w:t>Prospektive Validierungsstudie von zwei Deep-Learning-Segmentierungsmodellen für automatische Wundgrößenmessung aus Fotografien im Vergleich zu ärztlichen Schätzungen und In-Person-Referenzmessungen.</w:t>
      </w:r>
    </w:p>
    <w:p>
      <w:r>
        <w:rPr>
          <w:b/>
        </w:rPr>
        <w:t xml:space="preserve">Ergebnis: </w:t>
      </w:r>
      <w:r>
        <w:t>TransNeXt: ICC Höhe 0,96 (MAE 0,82 cm), Breite ICC 0,86 (MAE 0,69 cm, Bias −0,42 cm); VW-Conv: Höhe ICC 0,95 (MAE 0,68 cm), Breite ICC 0,77 (MAE 0,74 cm). KI konsistenter als einzelne Ärzte, comparable mit Expertenkonsen, nicht überlegen. TransNeXt zeigte stabilere Pixel-Performance (Dice 0,886).</w:t>
      </w:r>
    </w:p>
    <w:p>
      <w:r>
        <w:rPr>
          <w:b/>
          <w:sz w:val="19"/>
        </w:rPr>
        <w:t xml:space="preserve">Übertragbarkeit: </w:t>
      </w:r>
      <w:r>
        <w:rPr>
          <w:sz w:val="19"/>
        </w:rPr>
        <w:t>Deutsche Einzelzentrum-Validierung erforderlich; Konzept für Telemedizin-Wundmonitoring übertragbar.</w:t>
      </w:r>
    </w:p>
    <w:p>
      <w:r>
        <w:rPr>
          <w:color w:val="5A7D3A"/>
          <w:sz w:val="18"/>
        </w:rPr>
        <w:t>https://pubmed.ncbi.nlm.nih.gov/42885306/</w:t>
      </w:r>
    </w:p>
    <w:p>
      <w:pPr>
        <w:pStyle w:val="Heading2"/>
      </w:pPr>
      <w:r>
        <w:t>Machine-Learning-Kostenprognose bei pulmonaler arterieller Hypertonie: Feasibility-Studie</w:t>
      </w:r>
    </w:p>
    <w:p>
      <w:r>
        <w:rPr>
          <w:i/>
          <w:color w:val="666666"/>
          <w:sz w:val="18"/>
        </w:rPr>
        <w:t>Kramer M et al.  ·  JMIR Med Inform  ·  15.10.2026  ·  PMID 42879777</w:t>
      </w:r>
    </w:p>
    <w:p>
      <w:r>
        <w:t>Retrospektive Machbarkeitsstudie zur Kombination von Vorhersage der WHO-Funktionsklasse mit Schätzung der Gesundheitskosten bei PAH-Patienten mittels sechs Machine-Learning-Algorithmen.</w:t>
      </w:r>
    </w:p>
    <w:p>
      <w:r>
        <w:rPr>
          <w:b/>
        </w:rPr>
        <w:t xml:space="preserve">Ergebnis: </w:t>
      </w:r>
      <w:r>
        <w:t>181 PAH-Patienten; beste Performance k-nearest neighbors (r=0,40, R²=0,16), gefolgt LASSO (r=0,30, R²=0,09); geschätzte Durchschnittskosten 12.481–12.614 USD/Patient/Monat; trotz verbesserter Funktionsklasse über 12 Monate Kosten stabil. Moderate Vorhersageleistung, aber Machbarkeit der Kostenintegration demonstriert.</w:t>
      </w:r>
    </w:p>
    <w:p>
      <w:r>
        <w:rPr>
          <w:b/>
          <w:sz w:val="19"/>
        </w:rPr>
        <w:t xml:space="preserve">Übertragbarkeit: </w:t>
      </w:r>
      <w:r>
        <w:rPr>
          <w:sz w:val="19"/>
        </w:rPr>
        <w:t>Deutsche Daten notwendig; Konzept der systemischen Kostenmodellierung für Policy relevant.</w:t>
      </w:r>
    </w:p>
    <w:p>
      <w:r>
        <w:rPr>
          <w:color w:val="5A7D3A"/>
          <w:sz w:val="18"/>
        </w:rPr>
        <w:t>https://pubmed.ncbi.nlm.nih.gov/42879777/</w:t>
      </w:r>
    </w:p>
    <w:p>
      <w:pPr>
        <w:pStyle w:val="Heading2"/>
      </w:pPr>
      <w:r>
        <w:t>Komorbidität und Ungleichheit: Langzeit-Pfade psychischer und körperlicher Erkrankungen</w:t>
      </w:r>
    </w:p>
    <w:p>
      <w:r>
        <w:rPr>
          <w:i/>
          <w:color w:val="666666"/>
          <w:sz w:val="18"/>
        </w:rPr>
        <w:t>Nguyen T et al.  ·  PLoS One  ·  15.10.2026  ·  PMID 42879447</w:t>
      </w:r>
    </w:p>
    <w:p>
      <w:r>
        <w:t>Multistate-Modellierung von 858.789 schottischen Patienten aus 21 Jahren EHR-Daten zur Analyse von Übergängen in Multimorbidität nach Alter, Geschlecht und sozioökonomischem Status.</w:t>
      </w:r>
    </w:p>
    <w:p>
      <w:r>
        <w:rPr>
          <w:b/>
        </w:rPr>
        <w:t xml:space="preserve">Ergebnis: </w:t>
      </w:r>
      <w:r>
        <w:t>Psychische Erkrankungen (schwer, stationär) zeigten starken Einfluss auf Early-Onset-Multimorbidität, besonders bei jungen Männern und sozioökonomisch benachteiligten Gruppen. Strukturelle Determinanten und integrierte psychisch-somatische Versorgung identifiziert als kritisch.</w:t>
      </w:r>
    </w:p>
    <w:p>
      <w:r>
        <w:rPr>
          <w:b/>
          <w:sz w:val="19"/>
        </w:rPr>
        <w:t xml:space="preserve">Übertragbarkeit: </w:t>
      </w:r>
      <w:r>
        <w:rPr>
          <w:sz w:val="19"/>
        </w:rPr>
        <w:t>Britische Daten, ähnliche Sozialversicherungsstruktur; Befunde zur Health Equity in Deutschland anwendbar.</w:t>
      </w:r>
    </w:p>
    <w:p>
      <w:r>
        <w:rPr>
          <w:color w:val="5A7D3A"/>
          <w:sz w:val="18"/>
        </w:rPr>
        <w:t>https://pubmed.ncbi.nlm.nih.gov/42879447/</w:t>
      </w:r>
    </w:p>
    <w:p>
      <w:pPr>
        <w:pStyle w:val="Heading2"/>
      </w:pPr>
      <w:r>
        <w:t>Machine Learning für Sturz-Früherkennung: Test im Alltag älterer Menschen</w:t>
      </w:r>
    </w:p>
    <w:p>
      <w:r>
        <w:rPr>
          <w:i/>
          <w:color w:val="666666"/>
          <w:sz w:val="18"/>
        </w:rPr>
        <w:t>Schmidt NM et al.  ·  Geriatr Gerontol Int  ·  Okt. 2026  ·  PMID 42878241</w:t>
      </w:r>
    </w:p>
    <w:p>
      <w:r>
        <w:t>Prospektive Validierungsstudie eines vortrainierten Convolutional-Neural-Network auf beschleunigungsmesser-Daten zur Erkennung von Gangstörungen und Sturzrisiko im täglichen Leben.</w:t>
      </w:r>
    </w:p>
    <w:p>
      <w:r>
        <w:rPr>
          <w:b/>
        </w:rPr>
        <w:t xml:space="preserve">Ergebnis: </w:t>
      </w:r>
      <w:r>
        <w:t>202 Teilnehmer (Median 75 Jahre); 58% aller Trittfenster klassifiziert als Gangstörung; höheres Alter, niedrigere Kogni­tion/Funktion, Sturzangst und Frailty assoziiert mit mehr klassifizierten Perturbationen. Algorithmus klassifizierte jedoch viele Fenster als Gangunregelmäßigkeiten (misclassifications), erfordert weitere Training/Validierung.</w:t>
      </w:r>
    </w:p>
    <w:p>
      <w:r>
        <w:rPr>
          <w:b/>
          <w:sz w:val="19"/>
        </w:rPr>
        <w:t xml:space="preserve">Übertragbarkeit: </w:t>
      </w:r>
      <w:r>
        <w:rPr>
          <w:sz w:val="19"/>
        </w:rPr>
        <w:t>Deutsche Notfallabteilungs-Population möglich; Altersdemographie und Fall-Epidemiologie ähnlich.</w:t>
      </w:r>
    </w:p>
    <w:p>
      <w:r>
        <w:rPr>
          <w:color w:val="5A7D3A"/>
          <w:sz w:val="18"/>
        </w:rPr>
        <w:t>https://pubmed.ncbi.nlm.nih.gov/42878241/</w:t>
      </w:r>
    </w:p>
    <w:p>
      <w:pPr>
        <w:pStyle w:val="Heading1"/>
      </w:pPr>
      <w:r>
        <w:t>Aufgenommen am 16.10.2026</w:t>
      </w:r>
    </w:p>
    <w:p>
      <w:pPr>
        <w:pStyle w:val="Heading2"/>
      </w:pPr>
      <w:r>
        <w:t>LLM mit Retrieval-Augmented Generation für Prüfung von Einwilligungserklärungen</w:t>
      </w:r>
    </w:p>
    <w:p>
      <w:r>
        <w:rPr>
          <w:i/>
          <w:color w:val="666666"/>
          <w:sz w:val="18"/>
        </w:rPr>
        <w:t>Amugongo LM et al.  ·  JMIR Med Inform  ·  15.10.2026  ·  PMID 42879775</w:t>
      </w:r>
    </w:p>
    <w:p>
      <w:r>
        <w:t>Evaluation von GPT-4.1 mit Retrieval-Augmented Generation (RAG) zur automatisierten Analyse von Data-Reuse-Klauseln in 438 klinischen Einwilligungserklärungen aus mehreren Ländern und Sprachen.</w:t>
      </w:r>
    </w:p>
    <w:p>
      <w:r>
        <w:rPr>
          <w:b/>
        </w:rPr>
        <w:t xml:space="preserve">Ergebnis: </w:t>
      </w:r>
      <w:r>
        <w:t>Anfängliche Genauigkeit 81,6%; nach drei iterativen Optimierungsrunden auf 92,1% gesteigert (104 Test-Dokumente). Baseline-Genauigkeit in Validierungsphase 84,0%. System extrahierte Data-Reuse-Information zuverlässig über mehrere Sprachen hinweg.</w:t>
      </w:r>
    </w:p>
    <w:p>
      <w:r>
        <w:rPr>
          <w:b/>
          <w:sz w:val="19"/>
        </w:rPr>
        <w:t xml:space="preserve">Übertragbarkeit: </w:t>
      </w:r>
      <w:r>
        <w:rPr>
          <w:sz w:val="19"/>
        </w:rPr>
        <w:t>Boehringer-Ingelheim-Daten, deutschsprachig; relevant für GDPR-Compliance und internationale Datennutzung in klinischen Studien</w:t>
      </w:r>
    </w:p>
    <w:p>
      <w:r>
        <w:rPr>
          <w:color w:val="5A7D3A"/>
          <w:sz w:val="18"/>
        </w:rPr>
        <w:t>https://pubmed.ncbi.nlm.nih.gov/42879775/</w:t>
      </w:r>
    </w:p>
    <w:p>
      <w:pPr>
        <w:pStyle w:val="Heading2"/>
      </w:pPr>
      <w:r>
        <w:t>Akzeptanz von Videosprechstunden in China: Trend über COVID-19-Pandemie hinweg</w:t>
      </w:r>
    </w:p>
    <w:p>
      <w:r>
        <w:rPr>
          <w:i/>
          <w:color w:val="666666"/>
          <w:sz w:val="18"/>
        </w:rPr>
        <w:t>Chen K et al.  ·  J Med Internet Res  ·  15.10.2026  ·  PMID 42879773</w:t>
      </w:r>
    </w:p>
    <w:p>
      <w:r>
        <w:t>Wiederholte Querschnittsumfrage bei n=340–1373 Krankenhauspatienten in Zhejiang 2021–2024 zur Willingness-to-Use (WTU) virtueller Besuche über den Übergang von Eindämmung zu Routinemanagement.</w:t>
      </w:r>
    </w:p>
    <w:p>
      <w:r>
        <w:rPr>
          <w:b/>
        </w:rPr>
        <w:t xml:space="preserve">Ergebnis: </w:t>
      </w:r>
      <w:r>
        <w:t>WTU bei 70,9% (2021), 71,4% (2022), 62,3% (2023), 75,4% (2024). College-Ausbildung und Internetnutzung konsistent mit höherer WTU in allen vier Jahren. Alter, Einkommen und Selbstbewertung der Gesundheit variierten in der Assoziation über Jahre hinweg.</w:t>
      </w:r>
    </w:p>
    <w:p>
      <w:r>
        <w:rPr>
          <w:b/>
          <w:sz w:val="19"/>
        </w:rPr>
        <w:t xml:space="preserve">Übertragbarkeit: </w:t>
      </w:r>
      <w:r>
        <w:rPr>
          <w:sz w:val="19"/>
        </w:rPr>
        <w:t>China, wirtschaftlich und digital entwickelte Region; zeigt persistente Akzeptanz, aber differenzierte Determinanten—begrenzt übertragbar auf Deutschland ohne Kontext</w:t>
      </w:r>
    </w:p>
    <w:p>
      <w:r>
        <w:rPr>
          <w:color w:val="5A7D3A"/>
          <w:sz w:val="18"/>
        </w:rPr>
        <w:t>https://pubmed.ncbi.nlm.nih.gov/42879773/</w:t>
      </w:r>
    </w:p>
    <w:p>
      <w:pPr>
        <w:pStyle w:val="Heading2"/>
      </w:pPr>
      <w:r>
        <w:t>Entscheidungsunterstützung für Muskelskelettkrankeiten: Wirkung auf Versorgungsqualität in Hausarztpraxen</w:t>
      </w:r>
    </w:p>
    <w:p>
      <w:r>
        <w:rPr>
          <w:i/>
          <w:color w:val="666666"/>
          <w:sz w:val="18"/>
        </w:rPr>
        <w:t>Hill J et al.  ·  J Med Internet Res  ·  15.10.2026  ·  PMID 42879770</w:t>
      </w:r>
    </w:p>
    <w:p>
      <w:r>
        <w:t>Randomisierte Studie zur Wirkung eines web-basierten Clinical Decision Support Systems (CDSS) auf die Behandlungsqualität bei Muskelskelettkrankeiten in UK-Hausarztpraxen, verglichen mit Standardversorgung.</w:t>
      </w:r>
    </w:p>
    <w:p>
      <w:r>
        <w:rPr>
          <w:b/>
        </w:rPr>
        <w:t xml:space="preserve">Ergebnis: </w:t>
      </w:r>
      <w:r>
        <w:t>Wenn das CDSS genutzt wurde (8,6% der Fälle), sank die Rate suboptimaler Behandlung von 25% auf 3% (adjustierte OR 12,30; 95%-KI 2,52–59,9; p=0,002). Es erhöhte Selbstmanagement und Gemeindereferrals, reduzierte Verschreibungen. Sicherheitsbedenken bei 6,6% der Nutzungen ohne high-risk-Probleme. Gesamteinbindung begrenzt; Einsparungen auf 10% Annual Cost geschätzt.</w:t>
      </w:r>
    </w:p>
    <w:p>
      <w:r>
        <w:rPr>
          <w:b/>
          <w:sz w:val="19"/>
        </w:rPr>
        <w:t xml:space="preserve">Übertragbarkeit: </w:t>
      </w:r>
      <w:r>
        <w:rPr>
          <w:sz w:val="19"/>
        </w:rPr>
        <w:t>UK-Primärversorgung; vergleichbare Anforderungen wie deutsches Hausarztmodell, aber niedrigere tatsächliche Nutzungsrate deutet auf Integrationshürden hin</w:t>
      </w:r>
    </w:p>
    <w:p>
      <w:r>
        <w:rPr>
          <w:color w:val="5A7D3A"/>
          <w:sz w:val="18"/>
        </w:rPr>
        <w:t>https://pubmed.ncbi.nlm.nih.gov/42879770/</w:t>
      </w:r>
    </w:p>
    <w:p>
      <w:pPr>
        <w:pStyle w:val="Heading2"/>
      </w:pPr>
      <w:r>
        <w:t>KI-gestützte Telerehabilitation gegen Nackensteife: Nichtunterlegenheits-RCT</w:t>
      </w:r>
    </w:p>
    <w:p>
      <w:r>
        <w:rPr>
          <w:i/>
          <w:color w:val="666666"/>
          <w:sz w:val="18"/>
        </w:rPr>
        <w:t>Zhao Y et al.  ·  JMIR Form Res  ·  15.10.2026  ·  PMID 42879432</w:t>
      </w:r>
    </w:p>
    <w:p>
      <w:r>
        <w:t>Randomisierte Nichtunterlegenheits-Studie an zwei Zentren (Peking Union Medical College Hospital, Beijing Jishuitan Hospital) mit 116 Patienten zu KI-gestützter Home-Rehabilitation vs. Standardtherapie bei chronischen Nackenschmerzen.</w:t>
      </w:r>
    </w:p>
    <w:p>
      <w:r>
        <w:rPr>
          <w:b/>
        </w:rPr>
        <w:t xml:space="preserve">Ergebnis: </w:t>
      </w:r>
      <w:r>
        <w:t>Telerehabilitation nicht unterlegen (NDI-Unterschied Woche 24: −2,5 Punkte; 95%-KI −6,2 bis 1,2; p=0,15; Obergrenze &lt;5 Punkte). Beide Gruppen zeigten klinisch bedeutsame Verbesserungen in Schmerz, Lebensqualität und Bewegungsumfang. Keine Intervention-bedingten Schäden.</w:t>
      </w:r>
    </w:p>
    <w:p>
      <w:r>
        <w:rPr>
          <w:b/>
          <w:sz w:val="19"/>
        </w:rPr>
        <w:t xml:space="preserve">Übertragbarkeit: </w:t>
      </w:r>
      <w:r>
        <w:rPr>
          <w:sz w:val="19"/>
        </w:rPr>
        <w:t>China; verifiziert KI-Bewegungserkennung für Ferntherapie, aber Übertragbarkeit auf deutsche Versorgung abhängig von Zulassung und Kostenübernahme</w:t>
      </w:r>
    </w:p>
    <w:p>
      <w:r>
        <w:rPr>
          <w:color w:val="5A7D3A"/>
          <w:sz w:val="18"/>
        </w:rPr>
        <w:t>https://pubmed.ncbi.nlm.nih.gov/42879432/</w:t>
      </w:r>
    </w:p>
    <w:p>
      <w:pPr>
        <w:pStyle w:val="Heading2"/>
      </w:pPr>
      <w:r>
        <w:t>Wie Studienautoren Outcomes für Digital-Therapeutics-Trials auswählen: qualitative Analyse</w:t>
      </w:r>
    </w:p>
    <w:p>
      <w:r>
        <w:rPr>
          <w:i/>
          <w:color w:val="666666"/>
          <w:sz w:val="18"/>
        </w:rPr>
        <w:t>Mahlmann J et al.  ·  JMIR Form Res  ·  15.10.2026  ·  PMID 42878726</w:t>
      </w:r>
    </w:p>
    <w:p>
      <w:r>
        <w:t>Qualitative Studie mit 19 semistrukturierten Interviews mit Experten zur Methodik der Outcome-Auswahl in Digital-Therapeutics-Studien, durchgeführt August–November 2024.</w:t>
      </w:r>
    </w:p>
    <w:p>
      <w:r>
        <w:rPr>
          <w:b/>
        </w:rPr>
        <w:t xml:space="preserve">Ergebnis: </w:t>
      </w:r>
      <w:r>
        <w:t>Outcome-Auswahl basierte primär auf Forschungsstand, persönlicher Erfahrung und praktischer Machbarkeit. Fast alle Interviewten sahen standardisierte Core Outcome Sets (COS) als geeignet für bessere Vergleichbarkeit zwischen DTx-Studien an, identifizierten aber auch kritische Perspektiven zur Anwendung.</w:t>
      </w:r>
    </w:p>
    <w:p>
      <w:r>
        <w:rPr>
          <w:b/>
          <w:sz w:val="19"/>
        </w:rPr>
        <w:t xml:space="preserve">Übertragbarkeit: </w:t>
      </w:r>
      <w:r>
        <w:rPr>
          <w:sz w:val="19"/>
        </w:rPr>
        <w:t>Witten/Herdecke und Fraunhofer ISST Deutschland; adressiert das Evidenzproblem regulatorisch relevanter Nutzenbewertung</w:t>
      </w:r>
    </w:p>
    <w:p>
      <w:r>
        <w:rPr>
          <w:color w:val="5A7D3A"/>
          <w:sz w:val="18"/>
        </w:rPr>
        <w:t>https://pubmed.ncbi.nlm.nih.gov/42878726/</w:t>
      </w:r>
    </w:p>
    <w:p>
      <w:pPr>
        <w:pStyle w:val="Heading2"/>
      </w:pPr>
      <w:r>
        <w:t>Telemedizinische Pharmazie-Konsilien für Polypharmazie in der Hausarztpraxis: qualitative Studie</w:t>
      </w:r>
    </w:p>
    <w:p>
      <w:r>
        <w:rPr>
          <w:i/>
          <w:color w:val="666666"/>
          <w:sz w:val="18"/>
        </w:rPr>
        <w:t>Henriksen DP  ·  Basic Clin Pharmacol Toxicol  ·  Nov. 2026  ·  PMID 42877986</w:t>
      </w:r>
    </w:p>
    <w:p>
      <w:r>
        <w:t>Qualitative Studie mit sieben dänischen Hausärzten zur Nutzung einer videgestützten telemedizinischen Pharmakologie-Sprechstunde (TPOC) zur Medikationsprüfung und Koordination.</w:t>
      </w:r>
    </w:p>
    <w:p>
      <w:r>
        <w:rPr>
          <w:b/>
        </w:rPr>
        <w:t xml:space="preserve">Ergebnis: </w:t>
      </w:r>
      <w:r>
        <w:t>Hausärzte berichteten Reduktion der mentalen Workload, bessere Unterstützung bei Deprescribing und Transfer von Apothekerwissen auf nicht-überwiesene Patienten. Weitverbreitung hemmt fehlende Integration in Praxissoftware sowie Awareness und Zeitdruck—nicht Zweifel am Service.</w:t>
      </w:r>
    </w:p>
    <w:p>
      <w:r>
        <w:rPr>
          <w:b/>
          <w:sz w:val="19"/>
        </w:rPr>
        <w:t xml:space="preserve">Übertragbarkeit: </w:t>
      </w:r>
      <w:r>
        <w:rPr>
          <w:sz w:val="19"/>
        </w:rPr>
        <w:t>Dänemark, südlicher Landesteil; vergleichbares Versicherungssystem, zeigt Implementierungshürden für sektorübergreifende Digitallösungen</w:t>
      </w:r>
    </w:p>
    <w:p>
      <w:r>
        <w:rPr>
          <w:color w:val="5A7D3A"/>
          <w:sz w:val="18"/>
        </w:rPr>
        <w:t>https://pubmed.ncbi.nlm.nih.gov/42877986/</w:t>
      </w:r>
    </w:p>
    <w:p>
      <w:pPr>
        <w:pStyle w:val="Heading1"/>
      </w:pPr>
      <w:r>
        <w:t>Aufgenommen am 15.10.2026</w:t>
      </w:r>
    </w:p>
    <w:p>
      <w:pPr>
        <w:pStyle w:val="Heading2"/>
      </w:pPr>
      <w:r>
        <w:t>KI-gestützte Lungenknotendiagnose: Durchsatzsteigerung und frühzeitige Krebserkennung in drei US-Kliniken</w:t>
      </w:r>
    </w:p>
    <w:p>
      <w:r>
        <w:rPr>
          <w:i/>
          <w:color w:val="666666"/>
          <w:sz w:val="18"/>
        </w:rPr>
        <w:t>Lee KA et al.  ·  PLoS One  ·  14.10.2026  ·  PMID 42873759</w:t>
      </w:r>
    </w:p>
    <w:p>
      <w:r>
        <w:t>Vor-nach-Vergleich der Implementierung kommerzieller KI-Software zur Unterstützung der Lungenknotenverwaltung in drei US-Lungenzentren; Outcome war Patientendurchsatz und Krebsidentifikation.</w:t>
      </w:r>
    </w:p>
    <w:p>
      <w:r>
        <w:rPr>
          <w:b/>
        </w:rPr>
        <w:t xml:space="preserve">Ergebnis: </w:t>
      </w:r>
      <w:r>
        <w:t>Monatliche neue Patienten stiegen von 11,0 auf 18,6 pro Monat (p=0,0002); Patienten mit mindestens einer invasiven Prozedur von 4,9 auf 8,0 monatlich (p=0,0085). Monatliche Krebsfälle erhöhten sich von 3,0 auf 3,8 (p=0,3242), Frühstadium-Krebsfälle von 1,4 auf 2,4 (p=0,125). Die Zeitspanne zur Diagnose blieb ähnlich (58 vs. 57 Tage), die Streuung verringerte sich deutlich (IQR 125 auf 58 Tage).</w:t>
      </w:r>
    </w:p>
    <w:p>
      <w:r>
        <w:rPr>
          <w:b/>
          <w:sz w:val="19"/>
        </w:rPr>
        <w:t xml:space="preserve">Übertragbarkeit: </w:t>
      </w:r>
      <w:r>
        <w:rPr>
          <w:sz w:val="19"/>
        </w:rPr>
        <w:t>USA-Studie; Effekt auf Workflow und Zugang ist übertragbar, Produktverfügbarkeit unklar</w:t>
      </w:r>
    </w:p>
    <w:p>
      <w:r>
        <w:rPr>
          <w:color w:val="5A7D3A"/>
          <w:sz w:val="18"/>
        </w:rPr>
        <w:t>https://pubmed.ncbi.nlm.nih.gov/42873759/</w:t>
      </w:r>
    </w:p>
    <w:p>
      <w:pPr>
        <w:pStyle w:val="Heading2"/>
      </w:pPr>
      <w:r>
        <w:t>KI versus Kardiologen bei Okklusion-Myokardinfarkt: ECG-Diagnose in Notfällen</w:t>
      </w:r>
    </w:p>
    <w:p>
      <w:r>
        <w:rPr>
          <w:i/>
          <w:color w:val="666666"/>
          <w:sz w:val="18"/>
        </w:rPr>
        <w:t>Zimmerli A et al.  ·  JMIR Cardio  ·  14.10.2026  ·  PMID 42873564</w:t>
      </w:r>
    </w:p>
    <w:p>
      <w:r>
        <w:t>Retrospektiver Vergleich der diagnostischen Leistung einer KI-App (PMCardio) mit Interventionskardiologern bei 33 herausfordernd diagnostizierten ECGs in der Notaufnahme; Goldstandard war Koronarangiographie (≥90% Stenose).</w:t>
      </w:r>
    </w:p>
    <w:p>
      <w:r>
        <w:rPr>
          <w:b/>
        </w:rPr>
        <w:t xml:space="preserve">Ergebnis: </w:t>
      </w:r>
      <w:r>
        <w:t>KI erreichte Sensitivität 100 %, Spezifität 60 %, NPV 100 %, PPV 62 %, Fehlerquote 24 %; drei Kardiologen zeigten Sensitivitäten von 62–85 %, Spezifitäten von 50–70 %, NPVs von 69–83 %, Fehlerquoten von 33–42 %. KI identifizierte alle Okklusions-Myokardnfarkte korrekt, während einzelne Ärzte 15–38 % übersahen.</w:t>
      </w:r>
    </w:p>
    <w:p>
      <w:r>
        <w:rPr>
          <w:b/>
          <w:sz w:val="19"/>
        </w:rPr>
        <w:t xml:space="preserve">Übertragbarkeit: </w:t>
      </w:r>
      <w:r>
        <w:rPr>
          <w:sz w:val="19"/>
        </w:rPr>
        <w:t>Schweiz (Lausanne), europäisches Setting, Notfalldiagnose übertragbar</w:t>
      </w:r>
    </w:p>
    <w:p>
      <w:r>
        <w:rPr>
          <w:color w:val="5A7D3A"/>
          <w:sz w:val="18"/>
        </w:rPr>
        <w:t>https://pubmed.ncbi.nlm.nih.gov/42873564/</w:t>
      </w:r>
    </w:p>
    <w:p>
      <w:pPr>
        <w:pStyle w:val="Heading2"/>
      </w:pPr>
      <w:r>
        <w:t>Smartphone-Video für Ganganalyse und Sturzrisiko bei Parkinson: Deep Learning in der Klinik</w:t>
      </w:r>
    </w:p>
    <w:p>
      <w:r>
        <w:rPr>
          <w:i/>
          <w:color w:val="666666"/>
          <w:sz w:val="18"/>
        </w:rPr>
        <w:t>Chu SL et al.  ·  Front Neurol  ·  29.09.2026  ·  PMID 42872140</w:t>
      </w:r>
    </w:p>
    <w:p>
      <w:r>
        <w:t>Querschnittstudie zur Entwicklung und Validierung eines Smartphone-Video-basierten Gangbewertungssystems mit Deep Learning (MoviNet) für Morbus-Parkinson-Screening, funktionelle Einstufung (Schwab-England-Skala) und Sturzrisikiklassifizierung; 40 Teilnehmer mit milder bis moderater PD und Kontrollen.</w:t>
      </w:r>
    </w:p>
    <w:p>
      <w:r>
        <w:rPr>
          <w:b/>
        </w:rPr>
        <w:t xml:space="preserve">Ergebnis: </w:t>
      </w:r>
      <w:r>
        <w:t>Für PD-Screening: Genauigkeit 95,7 %, Sensitivität 96,6 %, Spezifität 92,2 %, AUC 0,994. Für S&amp;E-ADL-Funktionseinstufung: Gesamtgenauigkeit 88,5 % über drei Kategorien. Für Sturzrisikiklassifizierung: Genauigkeit 91,1 %, Sensitivität 68,4 %, Spezifität 98,3 %, AUC 0,909. Robuste Leistung über alle drei Aufgaben hinweg mit unabhängiger Test-Datenpartitionierung.</w:t>
      </w:r>
    </w:p>
    <w:p>
      <w:r>
        <w:rPr>
          <w:b/>
          <w:sz w:val="19"/>
        </w:rPr>
        <w:t xml:space="preserve">Übertragbarkeit: </w:t>
      </w:r>
      <w:r>
        <w:rPr>
          <w:sz w:val="19"/>
        </w:rPr>
        <w:t>Taiwan; technisch übertragbar auf deutschsprachige Systeme, weitere Validierung nötig</w:t>
      </w:r>
    </w:p>
    <w:p>
      <w:r>
        <w:rPr>
          <w:color w:val="5A7D3A"/>
          <w:sz w:val="18"/>
        </w:rPr>
        <w:t>https://pubmed.ncbi.nlm.nih.gov/42872140/</w:t>
      </w:r>
    </w:p>
    <w:p>
      <w:pPr>
        <w:pStyle w:val="Heading2"/>
      </w:pPr>
      <w:r>
        <w:t>KI-gesteuerte dezentralisierte CAR-T-Zellproduktion im Krankenhaus: Kosteneffektivität für multiples Myelom</w:t>
      </w:r>
    </w:p>
    <w:p>
      <w:r>
        <w:rPr>
          <w:i/>
          <w:color w:val="666666"/>
          <w:sz w:val="18"/>
        </w:rPr>
        <w:t>Boot IWA et al.  ·  JMIR Cancer  ·  13.10.2026  ·  PMID 42868529</w:t>
      </w:r>
    </w:p>
    <w:p>
      <w:r>
        <w:t>Frühe Gesundheitstechnologiebewertung der AIDPATH-Plattform (KI-gestützte dezentralisierte Produktion) gegen zentrale CAR-T-Herstellung und Standard-of-Care für multiples Myelom aus deutscher Krankenhäuser-Perspektive; Zeithorizont 40 Jahre.</w:t>
      </w:r>
    </w:p>
    <w:p>
      <w:r>
        <w:rPr>
          <w:b/>
        </w:rPr>
        <w:t xml:space="preserve">Ergebnis: </w:t>
      </w:r>
      <w:r>
        <w:t>AIDPATH war dominant gegenüber cilta-cel und Standard-of-Care. Die Kosteneffektivität wurde hauptsächlich durch Akquisitionskosten und unerwünschte Ereignisse bestimmt. Sensitivitätsanalysen zeigten Stabilität; Szenarioanalysen unterstützten die Kosteneffektivität auch unter reduzierten Nebenwirkungsannahmen und verkürzten Vein-zu-Vein-Zeiten.</w:t>
      </w:r>
    </w:p>
    <w:p>
      <w:r>
        <w:rPr>
          <w:b/>
          <w:sz w:val="19"/>
        </w:rPr>
        <w:t xml:space="preserve">Übertragbarkeit: </w:t>
      </w:r>
      <w:r>
        <w:rPr>
          <w:sz w:val="19"/>
        </w:rPr>
        <w:t>Deutsche Kliniken, Krankenhäuser-Perspektive, vergleichbar mit deutschem System</w:t>
      </w:r>
    </w:p>
    <w:p>
      <w:r>
        <w:rPr>
          <w:color w:val="5A7D3A"/>
          <w:sz w:val="18"/>
        </w:rPr>
        <w:t>https://pubmed.ncbi.nlm.nih.gov/42868529/</w:t>
      </w:r>
    </w:p>
    <w:p>
      <w:pPr>
        <w:pStyle w:val="Heading2"/>
      </w:pPr>
      <w:r>
        <w:t>Smartphone-App für Pharmakovigilanz nach COVID-19-Impfung: SafeVac2.0 mit 732.864 Teilnehmern</w:t>
      </w:r>
    </w:p>
    <w:p>
      <w:r>
        <w:rPr>
          <w:i/>
          <w:color w:val="666666"/>
          <w:sz w:val="18"/>
        </w:rPr>
        <w:t>Kopp L et al.  ·  Vaccine  ·  14.11.2026  ·  PMID 42843285</w:t>
      </w:r>
    </w:p>
    <w:p>
      <w:r>
        <w:t>Prospektive, nicht-interventionelle, bevölkerungsbasierte Kohortenstudie zur Erfassung selbstberichteter Nebenwirkungen von COVID-19-Impfstoffen via Smartphone-App von Dezember 2020 bis September 2022; Erfassung bis 3 Wochen nach erster, 8 Wochen nach zweiter und 7 Tage nach Booster-Dosis.</w:t>
      </w:r>
    </w:p>
    <w:p>
      <w:r>
        <w:rPr>
          <w:b/>
        </w:rPr>
        <w:t xml:space="preserve">Ergebnis: </w:t>
      </w:r>
      <w:r>
        <w:t>732.864 Personen dokumentierten 1.436.039 Impfungen; 68 % berichteten mindestens eine Nebenwirkung, insgesamt 4.007.149 Nebenwirkungen dokumentiert. 88 % waren lokale oder systemische Reaktogenität. Medizinische Versorgung wurde in 0,36 % der Impfungen benötigt. Alter, Geschlecht, Impfstoff und Dosis waren potenzielle Vorhersagefaktoren für Nebenwirkungen.</w:t>
      </w:r>
    </w:p>
    <w:p>
      <w:r>
        <w:rPr>
          <w:b/>
          <w:sz w:val="19"/>
        </w:rPr>
        <w:t xml:space="preserve">Übertragbarkeit: </w:t>
      </w:r>
      <w:r>
        <w:rPr>
          <w:sz w:val="19"/>
        </w:rPr>
        <w:t>Deutschland (Paul-Ehrlich-Institut), deutsche Daten, vollständig übertragbar</w:t>
      </w:r>
    </w:p>
    <w:p>
      <w:r>
        <w:rPr>
          <w:color w:val="5A7D3A"/>
          <w:sz w:val="18"/>
        </w:rPr>
        <w:t>https://pubmed.ncbi.nlm.nih.gov/42843285/</w:t>
      </w:r>
    </w:p>
    <w:p>
      <w:pPr>
        <w:pStyle w:val="Heading2"/>
      </w:pPr>
      <w:r>
        <w:t>Codierung weiblicher Genitalverstümmelung im französischen Krankenhausdatensystem PMSI: Harmonisierung und Finanzierungszugang</w:t>
      </w:r>
    </w:p>
    <w:p>
      <w:r>
        <w:rPr>
          <w:i/>
          <w:color w:val="666666"/>
          <w:sz w:val="18"/>
        </w:rPr>
        <w:t>Hascoet D et al.  ·  Sante Publique  ·  2026  ·  PMID 42838917</w:t>
      </w:r>
    </w:p>
    <w:p>
      <w:r>
        <w:t>Gemischte Methoden-Studie zur Analyse von Kodierungspraktiken für weibliche Genitalverstümmelung (FGM) in französischen Krankenhäusern; qualitative Interviews mit Spezialisten und explorative Befragung medizinischer Informationsabteilungen (DIM).</w:t>
      </w:r>
    </w:p>
    <w:p>
      <w:r>
        <w:rPr>
          <w:b/>
        </w:rPr>
        <w:t xml:space="preserve">Ergebnis: </w:t>
      </w:r>
      <w:r>
        <w:t>Alle befragten Abteilungen verwendeten ICD-10-Code N90.8 für FGM als Hauptdiagnose; Praktiken variierten jedoch erheblich bei assoziierten Diagnosen und chirurgischen Verfahren. Mangelnde Harmonisierung und begrenzte Kenntnis spezifischer Finanzierungsmechanismen (MIGAC, MERRI) beschränkten den Zugang zu zweckgebundener Unterstützung. Die Studie fordert spezifischere Kodierung und bessere Datenstrukturierung zur Verbesserung der Versorgungsqualität.</w:t>
      </w:r>
    </w:p>
    <w:p>
      <w:r>
        <w:rPr>
          <w:b/>
          <w:sz w:val="19"/>
        </w:rPr>
        <w:t xml:space="preserve">Übertragbarkeit: </w:t>
      </w:r>
      <w:r>
        <w:rPr>
          <w:sz w:val="19"/>
        </w:rPr>
        <w:t>Frankreich; vergleichbares Sozialversicherungssystem, Dokumentations- und Finanzierungslogik</w:t>
      </w:r>
    </w:p>
    <w:p>
      <w:r>
        <w:rPr>
          <w:color w:val="5A7D3A"/>
          <w:sz w:val="18"/>
        </w:rPr>
        <w:t>https://pubmed.ncbi.nlm.nih.gov/42838917/</w:t>
      </w:r>
    </w:p>
    <w:p>
      <w:pPr>
        <w:pStyle w:val="Heading1"/>
      </w:pPr>
      <w:r>
        <w:t>Aufgenommen am 14.10.2026</w:t>
      </w:r>
    </w:p>
    <w:p>
      <w:pPr>
        <w:pStyle w:val="Heading2"/>
      </w:pPr>
      <w:r>
        <w:t>KI-Wellness-App abgeschaltet: 26% der Nutzer finden keine Alternative, 27% weichen zu generalistischen LLMs aus</w:t>
      </w:r>
    </w:p>
    <w:p>
      <w:r>
        <w:rPr>
          <w:i/>
          <w:color w:val="666666"/>
          <w:sz w:val="18"/>
        </w:rPr>
        <w:t>Stamatis CA et al.  ·  JMIR Med Inform  ·  13.10.2026  ·  PMID 42869425</w:t>
      </w:r>
    </w:p>
    <w:p>
      <w:r>
        <w:t>Umfrage von 364 britischen Nutzern einer speziell für psychische Gesundheit entwickelten KI-App erfasste, wo sie nach Marktrückzug Support suchten – und was das für die Versorgung bedeutet.</w:t>
      </w:r>
    </w:p>
    <w:p>
      <w:r>
        <w:rPr>
          <w:b/>
        </w:rPr>
        <w:t xml:space="preserve">Ergebnis: </w:t>
      </w:r>
      <w:r>
        <w:t>Nach Wegfall der Purpose-Built-App wandten sich 27,1% hauptsächlich generalistischen KI-Tools zu, 26% suchten gar keine Unterstützung mehr. Nur 4,9% ersetzten die App durch NHS-Dienste, 8,1% durch private Therapeuten. 60,2% berichteten schlechtere Versorgungszugänge; bei denjenigen, die keine Alternative suchten, stieg dieser Anteil auf 80,7%.</w:t>
      </w:r>
    </w:p>
    <w:p>
      <w:r>
        <w:rPr>
          <w:b/>
          <w:sz w:val="19"/>
        </w:rPr>
        <w:t xml:space="preserve">Übertragbarkeit: </w:t>
      </w:r>
      <w:r>
        <w:rPr>
          <w:sz w:val="19"/>
        </w:rPr>
        <w:t>Großbritannien; zeigt Versorgungslücken bei Rückzug von DiGA im deutschsprachigen Raum</w:t>
      </w:r>
    </w:p>
    <w:p>
      <w:r>
        <w:rPr>
          <w:color w:val="5A7D3A"/>
          <w:sz w:val="18"/>
        </w:rPr>
        <w:t>https://pubmed.ncbi.nlm.nih.gov/42869425/</w:t>
      </w:r>
    </w:p>
    <w:p>
      <w:pPr>
        <w:pStyle w:val="Heading2"/>
      </w:pPr>
      <w:r>
        <w:t>EHR-integrierte Entscheidungsunterstuetzung erhöht Antibiotika-Leitlinientreue um 202%</w:t>
      </w:r>
    </w:p>
    <w:p>
      <w:r>
        <w:rPr>
          <w:i/>
          <w:color w:val="666666"/>
          <w:sz w:val="18"/>
        </w:rPr>
        <w:t>Hatab HA et al.  ·  Appl Clin Inform  ·  13.10.2026  ·  PMID 42869095</w:t>
      </w:r>
    </w:p>
    <w:p>
      <w:r>
        <w:t>Qualitätsverbesserungsstudie testete eine Multikomponenten-Intervention (EHR-integrierte klinische Entscheidungsunterstuetzung, Ärzteschulung, Prescribing Analytics, Audit-Feedback) zur Verbesserung der empirischen Antibiotikawahl bei pädiatrischen Harnwegsinfektionen.</w:t>
      </w:r>
    </w:p>
    <w:p>
      <w:r>
        <w:rPr>
          <w:b/>
        </w:rPr>
        <w:t xml:space="preserve">Ergebnis: </w:t>
      </w:r>
      <w:r>
        <w:t>Leitliniengerechte Verordnungen der Erstlinien-Therapie stiegen von 13,9% auf 41,9% in 12 Monaten (n=3.312 Fälle); gleichzeitig sank die Nutzung breiterer Cephalosporine. Der Anstieg folgte zeitlich der CDS-Implementierung und Verbreitungslisten-Publikation.</w:t>
      </w:r>
    </w:p>
    <w:p>
      <w:r>
        <w:rPr>
          <w:b/>
          <w:sz w:val="19"/>
        </w:rPr>
        <w:t xml:space="preserve">Übertragbarkeit: </w:t>
      </w:r>
      <w:r>
        <w:rPr>
          <w:sz w:val="19"/>
        </w:rPr>
        <w:t>USA (akademisches Zentrum), Mechanismus übertragbar auf deutsches Versorgungssystem</w:t>
      </w:r>
    </w:p>
    <w:p>
      <w:r>
        <w:rPr>
          <w:color w:val="5A7D3A"/>
          <w:sz w:val="18"/>
        </w:rPr>
        <w:t>https://pubmed.ncbi.nlm.nih.gov/42869095/</w:t>
      </w:r>
    </w:p>
    <w:p>
      <w:pPr>
        <w:pStyle w:val="Heading2"/>
      </w:pPr>
      <w:r>
        <w:t>LLM mit Trauma-Wissen reduziert manuelle Codierung von Verletzungsschweregrad</w:t>
      </w:r>
    </w:p>
    <w:p>
      <w:r>
        <w:rPr>
          <w:i/>
          <w:color w:val="666666"/>
          <w:sz w:val="18"/>
        </w:rPr>
        <w:t>Lin YJ et al.  ·  JMIR Med Inform  ·  13.10.2026  ·  PMID 42868526</w:t>
      </w:r>
    </w:p>
    <w:p>
      <w:r>
        <w:t>Studie testete, ob Large Language Models mit domänenspezifischem Wissen (Abbreviated Injury Scale) automatisch den Injury Severity Score aus Arztbriefen berechnen können – mit Ziel, die arbeitsintensive manuelle Traumakodierung zu ersetzen.</w:t>
      </w:r>
    </w:p>
    <w:p>
      <w:r>
        <w:rPr>
          <w:b/>
        </w:rPr>
        <w:t xml:space="preserve">Ergebnis: </w:t>
      </w:r>
      <w:r>
        <w:t>GPT-4.1 mit domänenspezifischem Retriever erreichte 75,3% genaue Vorhersage des ISS (95%-KI 66,1–82,7 %), verglichen mit 70,0% eines deterministischen Kodiertools. Besonders bei schweren Verletzungen verbessert sich die Genauigkeit substanziell; der Ansatz könnte Kodieraufwand reduzieren und Datenqualität verbessern.</w:t>
      </w:r>
    </w:p>
    <w:p>
      <w:r>
        <w:rPr>
          <w:b/>
          <w:sz w:val="19"/>
        </w:rPr>
        <w:t xml:space="preserve">Übertragbarkeit: </w:t>
      </w:r>
      <w:r>
        <w:rPr>
          <w:sz w:val="19"/>
        </w:rPr>
        <w:t>Taiwan, vergleichbare Dokumentationspraxis in Traumaregistern</w:t>
      </w:r>
    </w:p>
    <w:p>
      <w:r>
        <w:rPr>
          <w:color w:val="5A7D3A"/>
          <w:sz w:val="18"/>
        </w:rPr>
        <w:t>https://pubmed.ncbi.nlm.nih.gov/42868526/</w:t>
      </w:r>
    </w:p>
    <w:p>
      <w:pPr>
        <w:pStyle w:val="Heading2"/>
      </w:pPr>
      <w:r>
        <w:t>Ambient-AI-Dokumentation in der Chirurgie: 77,5% berichten bessere Effizienz, 72,5% mehr Genauigkeit</w:t>
      </w:r>
    </w:p>
    <w:p>
      <w:r>
        <w:rPr>
          <w:i/>
          <w:color w:val="666666"/>
          <w:sz w:val="18"/>
        </w:rPr>
        <w:t>Luo S et al.  ·  JMIR Med Inform  ·  13.10.2026  ·  PMID 42868240</w:t>
      </w:r>
    </w:p>
    <w:p>
      <w:r>
        <w:t>Befragung von 105 Chirurgen 3 Monate nach Implementierung von Dragon Ambient Experience (DAX) Copilot – einer KI-gestützten Echtzeit-Dokumentationslösung, die Arzt-Patient-Gespräche automatisch verschriftlicht.</w:t>
      </w:r>
    </w:p>
    <w:p>
      <w:r>
        <w:rPr>
          <w:b/>
        </w:rPr>
        <w:t xml:space="preserve">Ergebnis: </w:t>
      </w:r>
      <w:r>
        <w:t>77,5% (31/40 aktiver Nutzer) berichteten Verbesserung der wahrgenommenen Dokumentationseffizienz; 72,5% (29/40) berichteten bessere Genauigkeit, Detail und Konsistenz. 70,4% sahen Verbesserung der Dokumentationsaktualität. Nur 59,0% berichteten Besserung der Burnout-Symptome. Qualitative Rückmeldungen hoben Qualitätsgewinne hervor, zeigten aber auch Grenzen (EHR-Integration, Kompatibilität).</w:t>
      </w:r>
    </w:p>
    <w:p>
      <w:r>
        <w:rPr>
          <w:b/>
          <w:sz w:val="19"/>
        </w:rPr>
        <w:t xml:space="preserve">Übertragbarkeit: </w:t>
      </w:r>
      <w:r>
        <w:rPr>
          <w:sz w:val="19"/>
        </w:rPr>
        <w:t>USA (Vanderbilt), aber Dokumentationslast ist international Problem</w:t>
      </w:r>
    </w:p>
    <w:p>
      <w:r>
        <w:rPr>
          <w:color w:val="5A7D3A"/>
          <w:sz w:val="18"/>
        </w:rPr>
        <w:t>https://pubmed.ncbi.nlm.nih.gov/42868240/</w:t>
      </w:r>
    </w:p>
    <w:p>
      <w:pPr>
        <w:pStyle w:val="Heading2"/>
      </w:pPr>
      <w:r>
        <w:t>App für Suizidprävention in der Notaufnahme: Clinicians wollen nutzen, System-Barrieren blockieren Einsatz</w:t>
      </w:r>
    </w:p>
    <w:p>
      <w:r>
        <w:rPr>
          <w:i/>
          <w:color w:val="666666"/>
          <w:sz w:val="18"/>
        </w:rPr>
        <w:t>Shin HD et al.  ·  PLoS One  ·  13.10.2026  ·  PMID 42868152</w:t>
      </w:r>
    </w:p>
    <w:p>
      <w:r>
        <w:t>Qualitative Studie mit 29 Notaufnahme-Mitarbeitern in Toronto zur Identifikation von Barrieren und Facilitatoren für die Nutzung einer App zur strukturierten Sicherheitsplanung bei Suizidrisiko – Analyse mit Theoretical Domains Framework und COM-B-Modell.</w:t>
      </w:r>
    </w:p>
    <w:p>
      <w:r>
        <w:rPr>
          <w:b/>
        </w:rPr>
        <w:t xml:space="preserve">Ergebnis: </w:t>
      </w:r>
      <w:r>
        <w:t>Starke intrinsische Motivation aller Disziplinen (Pflege, Psychiater, Sozialarbeiter) für die App-Nutzung und Einstufung von Sicherheitsplanung als hochpriorisierte Intervention. Zentrale Barrieren: fehlende Interoperabilität mit EHR, Dokumentationsinfrastruktur unvorbereitet, Bedenken bezüglich Patientenzugang zu Smartphones, Workflows nicht adaptiert. Facilitatoren: lokale Champions, externe Validierung der Tool-Effektivität.</w:t>
      </w:r>
    </w:p>
    <w:p>
      <w:r>
        <w:rPr>
          <w:b/>
          <w:sz w:val="19"/>
        </w:rPr>
        <w:t xml:space="preserve">Übertragbarkeit: </w:t>
      </w:r>
      <w:r>
        <w:rPr>
          <w:sz w:val="19"/>
        </w:rPr>
        <w:t>Kanada (Ontario); Interoperabilitätsanforderungen gelten auch für Deutschland</w:t>
      </w:r>
    </w:p>
    <w:p>
      <w:r>
        <w:rPr>
          <w:color w:val="5A7D3A"/>
          <w:sz w:val="18"/>
        </w:rPr>
        <w:t>https://pubmed.ncbi.nlm.nih.gov/42868152/</w:t>
      </w:r>
    </w:p>
    <w:p>
      <w:pPr>
        <w:pStyle w:val="Heading2"/>
      </w:pPr>
      <w:r>
        <w:t>Telemedizin in schwerer Epilepsie: Eltern schätzen Logistik, aber nicht klinische Äquivalenz</w:t>
      </w:r>
    </w:p>
    <w:p>
      <w:r>
        <w:rPr>
          <w:i/>
          <w:color w:val="666666"/>
          <w:sz w:val="18"/>
        </w:rPr>
        <w:t>Giorgi S et al.  ·  Front Neurol  ·  28.09.2026  ·  PMID 42865351</w:t>
      </w:r>
    </w:p>
    <w:p>
      <w:r>
        <w:t>Befragung von 95 Eltern spanischer Patienten mit Entwicklungs- und epileptischen Enzephalopathien zu Erfahrungen und Akzeptanz von Telemedizin (überwiegend Telefon/Email, kaum Videosprechstunde).</w:t>
      </w:r>
    </w:p>
    <w:p>
      <w:r>
        <w:rPr>
          <w:b/>
        </w:rPr>
        <w:t xml:space="preserve">Ergebnis: </w:t>
      </w:r>
      <w:r>
        <w:t>Zufriedenheit mit Telemedizin (Mittelwert 3,2/5) war deutlich niedriger als mit persönlichen Besuchen (4,6/5; t=-7,96, p&lt;0,001). Logistische Vorteile (Zeitersparnis, weniger Reisen) wurden hochwertig bewertet (77% zufrieden), aber der wahrgenommene klinische Nutzen war niedrig. Über 50% bevorzugten Rehabilitationstherapien persönlich; 24% beklagten Fehlen physikalischer Untersuchung.</w:t>
      </w:r>
    </w:p>
    <w:p>
      <w:r>
        <w:rPr>
          <w:b/>
          <w:sz w:val="19"/>
        </w:rPr>
        <w:t xml:space="preserve">Übertragbarkeit: </w:t>
      </w:r>
      <w:r>
        <w:rPr>
          <w:sz w:val="19"/>
        </w:rPr>
        <w:t>Spanien; Evidenz limitiert durch Fehlen echter Videosprechstunde im Sample</w:t>
      </w:r>
    </w:p>
    <w:p>
      <w:r>
        <w:rPr>
          <w:color w:val="5A7D3A"/>
          <w:sz w:val="18"/>
        </w:rPr>
        <w:t>https://pubmed.ncbi.nlm.nih.gov/42865351/</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2026-10-25T06:00:00Z</dcterms:created>
  <dcterms:modified xsi:type="dcterms:W3CDTF">2026-10-25T06:00:00Z</dcterms:modified>
  <cp:category/>
</cp:coreProperties>
</file>