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31.10.2026  |  6 Studien  |  ki.m-vf.de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Deep Learning zur Mittelohrentzündungs-Diagnose: Leistungslücke zwischen Anfängern und Experten schließbar</w:t>
      </w:r>
    </w:p>
    <w:p>
      <w:r>
        <w:rPr>
          <w:i/>
          <w:color w:val="666666"/>
          <w:sz w:val="18"/>
        </w:rPr>
        <w:t>Yi SE et al.  ·  JMIR Med Inform  ·  30.10.2026  ·  PMID 42963056</w:t>
      </w:r>
    </w:p>
    <w:p>
      <w:r>
        <w:t>Retrospektive Leserstudie mit 13 Klinikern (3 Professoren, 5 Oberärzte, 5 Assistenzärzte) und 7.335 Trainingsbildern zum Effekt einer Deep-Learning-gestützten Diagnostik (EfficientNet-B4) auf die Genauigkeit bei der Diagnose von Mittelohrerkrankungen auf 100 klinischen Testbildern.</w:t>
      </w:r>
    </w:p>
    <w:p>
      <w:r>
        <w:rPr>
          <w:b/>
        </w:rPr>
        <w:t xml:space="preserve">Ergebnis: </w:t>
      </w:r>
      <w:r>
        <w:t>Stand-alone-KI erreichte 94,0–99,0 % Genauigkeit. KI-Unterstützung verbesserte Genauigkeit signifikant: Professoren +11,0 % (78,7 → 89,7 %), Oberärzte +28,8 % (65,0 → 93,8 %), Assistenten +32,2 % (54,4 → 86,6 %; alle p&lt;0,001). Leistungslücke Assistenten-Professoren sank von 24,3 % auf 3,1 %. Für Nebenbefunde (Retraktionstasche, Myringitis) signifikante Verbesserungen bei Assistenten.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strukturell vergleichbar; befund relevant für deutsche Ausbildungssettings.</w:t>
      </w:r>
    </w:p>
    <w:p>
      <w:r>
        <w:rPr>
          <w:color w:val="5A7D3A"/>
          <w:sz w:val="18"/>
        </w:rPr>
        <w:t>https://pubmed.ncbi.nlm.nih.gov/42963056/</w:t>
      </w:r>
    </w:p>
    <w:p>
      <w:pPr>
        <w:pStyle w:val="Heading2"/>
      </w:pPr>
      <w:r>
        <w:t>Eltern-beteitigte digitale Interventionen bei Kindern mit Übergewicht: Metaanalyse</w:t>
      </w:r>
    </w:p>
    <w:p>
      <w:r>
        <w:rPr>
          <w:i/>
          <w:color w:val="666666"/>
          <w:sz w:val="18"/>
        </w:rPr>
        <w:t>Zheng Y et al.  ·  J Med Internet Res  ·  30.10.2026  ·  PMID 42962207</w:t>
      </w:r>
    </w:p>
    <w:p>
      <w:r>
        <w:t>Systematische Übersichtsarbeit und Metaanalyse von 29 RCTs (4.156 Teilnehmer) zur Wirksamkeit eltern-integrierter digitaler Gesundheitsinterventionen auf BMI und Gesundheitsverhalten bei Kindern/Jugendlichen mit Übergewicht oder Adipositas.</w:t>
      </w:r>
    </w:p>
    <w:p>
      <w:r>
        <w:rPr>
          <w:b/>
        </w:rPr>
        <w:t xml:space="preserve">Ergebnis: </w:t>
      </w:r>
      <w:r>
        <w:t>Kleine aber statistisch signifikante BMI-Reduktion (SMD = −0,11, 95%-KI −0,19 bis −0,04; p = 0,004) vs. Kontrolle. Bei inaktiven Kontrollen stärker (SMD = −0,15), bei aktiven Kontrollen nicht signifikant (SMD = −0,07). Verbesserungen in Ernährungsverhalten (5/16 Studien), Bewegung (2/17) und Bildschirmzeit (2/12) inkonsistent. Moderate Evidenzsicherheit für BMI, optimale digitale Liefermodalität oder Eltern-Strategie nicht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Mehrere europäische Studien eingeschlossen; Befund auf deutsches Versorgungssystem übertragbar.</w:t>
      </w:r>
    </w:p>
    <w:p>
      <w:r>
        <w:rPr>
          <w:color w:val="5A7D3A"/>
          <w:sz w:val="18"/>
        </w:rPr>
        <w:t>https://pubmed.ncbi.nlm.nih.gov/42962207/</w:t>
      </w:r>
    </w:p>
    <w:p>
      <w:pPr>
        <w:pStyle w:val="Heading2"/>
      </w:pPr>
      <w:r>
        <w:t>KI-gestützte Schlaganfall-Neurorehabilitation: Usability und Akzeptanz bei Patienten, Angehörigen und Fachkräften</w:t>
      </w:r>
    </w:p>
    <w:p>
      <w:r>
        <w:rPr>
          <w:i/>
          <w:color w:val="666666"/>
          <w:sz w:val="18"/>
        </w:rPr>
        <w:t>Abi Saab P et al.  ·  Health Expect  ·  Dez. 2026  ·  PMID 42958746</w:t>
      </w:r>
    </w:p>
    <w:p>
      <w:r>
        <w:t>Qualitative Studie mit 71 Teilnehmern (27 Schlaganfallpatienten, 17 Angehörige, 27 Fachkräfte) in vier europäischen Ländern zur Nutzbarkeit einer KI-basierten Rehabilitationsplattform (RGS und MIMS-Dashboard) vor Implementierung in der Versorgung.</w:t>
      </w:r>
    </w:p>
    <w:p>
      <w:r>
        <w:rPr>
          <w:b/>
        </w:rPr>
        <w:t xml:space="preserve">Ergebnis: </w:t>
      </w:r>
      <w:r>
        <w:t>System Usability Scale (SUS) Gesamtscore 68,1 ± 16,0 (Note C). Patienten bewerteten die Patientenschnittstelle niedriger (58,9 ± 16,5) als Angehörige (75,6 ± 13,3; p = 0,002). Fachkräfte: 72,7 ± 12,8. Alle Gruppen bevorzugten ein Hybrid-Modell mit KI-gestützter Übungsabgabe und klinischer Überwachung statt autonomer Nutzung. Hauptbarrieren: Zuverlässigkeitsbedenken, digitale Kluft, notwendigkeit menschlicher Vermittlung und Ressourcenfragen.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 über mehrere Länder in vergleichbarem Versorgungskontext.</w:t>
      </w:r>
    </w:p>
    <w:p>
      <w:r>
        <w:rPr>
          <w:color w:val="5A7D3A"/>
          <w:sz w:val="18"/>
        </w:rPr>
        <w:t>https://pubmed.ncbi.nlm.nih.gov/42958746/</w:t>
      </w:r>
    </w:p>
    <w:p>
      <w:pPr>
        <w:pStyle w:val="Heading2"/>
      </w:pPr>
      <w:r>
        <w:t>Gewichtsveränderung in digitaler Adipositas-App: Prognose per Machine Learning</w:t>
      </w:r>
    </w:p>
    <w:p>
      <w:r>
        <w:rPr>
          <w:i/>
          <w:color w:val="666666"/>
          <w:sz w:val="18"/>
        </w:rPr>
        <w:t>Glasbrenner C et al.  ·  BMC Med  ·  27.10.2026  ·  PMID 42958525</w:t>
      </w:r>
    </w:p>
    <w:p>
      <w:r>
        <w:t>Analyse von 17.953 Nutzern der deutschen DiGA Oviva Direkt für Adipositas über 12 Wochen zur Vorhersage klinisch bedeutsamer Gewichtsverluste und App-Adhärenz mittels Machine Learning.</w:t>
      </w:r>
    </w:p>
    <w:p>
      <w:r>
        <w:rPr>
          <w:b/>
        </w:rPr>
        <w:t xml:space="preserve">Ergebnis: </w:t>
      </w:r>
      <w:r>
        <w:t>Baseline-Merkmale allein zeigten geringe Diskriminanzfähigkeit (ROC-AUC 0,54–0,58 für klinisch bedeutsamen Gewichtsverlust). Mit 4-Wochen-Gewicht verbesserte sich die Performance deutlich (AUC 0,86–0,92). App-Engagement allein zeigte modeste Verbesserung (AUC 0,63–0,67). Für Adhärenzvorhersage: AUC stieg von 0,81 (Baseline) auf 0,90 (mit Engagement). Frühzeitige Gewichtsverluste waren die stärksten Prädiktoren für Gesamterfolg.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medizinische App mit echten Versorgungsdaten; Modelle erfordern externe Validierung vor Klinikumsatz.</w:t>
      </w:r>
    </w:p>
    <w:p>
      <w:r>
        <w:rPr>
          <w:color w:val="5A7D3A"/>
          <w:sz w:val="18"/>
        </w:rPr>
        <w:t>https://pubmed.ncbi.nlm.nih.gov/42958525/</w:t>
      </w:r>
    </w:p>
    <w:p>
      <w:pPr>
        <w:pStyle w:val="Heading2"/>
      </w:pPr>
      <w:r>
        <w:t>Health4Life: Digitale Eltern-App für Kleinkinder – Hybrid-Design zur Prävention von Übergewicht</w:t>
      </w:r>
    </w:p>
    <w:p>
      <w:r>
        <w:rPr>
          <w:i/>
          <w:color w:val="666666"/>
          <w:sz w:val="18"/>
        </w:rPr>
        <w:t>Alexandrou C et al.  ·  BMC Public Health  ·  03.08.2026  ·  PMID 42958181</w:t>
      </w:r>
    </w:p>
    <w:p>
      <w:r>
        <w:t>Protokoll einer randomisierten Studie in Schweden mit 504 Familien, um die Wirksamkeit und Implementierbarkeit einer 16-monatigen App (Health4Life) zur Förderung gesunder Ernährung und Bewegung ab dem 6. Schwangerschaftsmonat zu testen.</w:t>
      </w:r>
    </w:p>
    <w:p>
      <w:r>
        <w:rPr>
          <w:b/>
        </w:rPr>
        <w:t xml:space="preserve">Ergebnis: </w:t>
      </w:r>
      <w:r>
        <w:t>Studie laufend (Anmeldung ab Januar 2025). Ziele: Primär Kindergewicht, Bewegung, Bildschirmzeit (akzelerometrie, Fragebogen); sekundär: Eltern-Selbstwirksamkeit. Implementierungs-Outcomes (Akzeptanz, Zweckmäßigkeit, Machbarkeit) durch Interviews mit Fachkräften und Fragebogen zu App-Nutzung erfasst. Förderung bis 2028 zugesichert.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Land mit hohem Digitalisierungsgrad; zeigt, was möglich ist, nicht unmittelbar umsetzbar in Deutschland.</w:t>
      </w:r>
    </w:p>
    <w:p>
      <w:r>
        <w:rPr>
          <w:color w:val="5A7D3A"/>
          <w:sz w:val="18"/>
        </w:rPr>
        <w:t>https://pubmed.ncbi.nlm.nih.gov/42958181/</w:t>
      </w:r>
    </w:p>
    <w:p>
      <w:pPr>
        <w:pStyle w:val="Heading2"/>
      </w:pPr>
      <w:r>
        <w:t>CaReScreen: Digitales Screening für Spätfolgen und Rehabilitationsbedarf von Krebsüberlebenden</w:t>
      </w:r>
    </w:p>
    <w:p>
      <w:r>
        <w:rPr>
          <w:i/>
          <w:color w:val="666666"/>
          <w:sz w:val="18"/>
        </w:rPr>
        <w:t>Kulosman M et al.  ·  JMIR Res Protoc  ·  29.10.2026  ·  PMID 42956043</w:t>
      </w:r>
    </w:p>
    <w:p>
      <w:r>
        <w:t>Norwegisches Entwicklungs- und Validierungsprojekt eines Screeningtools (digitaler Bericht mit Ampel-System) zur systematischen Erfassung von Symptombelastung und Rehabilitationsbedarf bei Krebsüberlebenden mittels Patient Reported Outcomes (EORTC QLQ-SURV100 + 5 Items).</w:t>
      </w:r>
    </w:p>
    <w:p>
      <w:r>
        <w:rPr>
          <w:b/>
        </w:rPr>
        <w:t xml:space="preserve">Ergebnis: </w:t>
      </w:r>
      <w:r>
        <w:t>Entwicklungsphase abgeschlossen mit initialisiertem Prototyp. Grün = geringe Symptombelastung, Gelb = moderat, Rot = hoch. Validierung der Scoring-Anleitung läuft mit 800 Teilnehmern (Ergebnisse Frühjahr 2027 erwartet). Machbarkeitsstudie geplant 2027. Projekt bis 2028 gefördert.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Norwegen; vergleichbares Versicherungssystem, gutes Digitalisierungsniveau.</w:t>
      </w:r>
    </w:p>
    <w:p>
      <w:r>
        <w:rPr>
          <w:color w:val="5A7D3A"/>
          <w:sz w:val="18"/>
        </w:rPr>
        <w:t>https://pubmed.ncbi.nlm.nih.gov/42956043/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