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Hitze, Klima und Gesundheit</w:t>
      </w:r>
    </w:p>
    <w:p>
      <w:r>
        <w:rPr>
          <w:i/>
          <w:color w:val="666666"/>
          <w:sz w:val="18"/>
        </w:rPr>
        <w:t>Stand: 14.10.2026  |  6 Studien  |  klima.m-vf.de</w:t>
      </w:r>
    </w:p>
    <w:p>
      <w:pPr>
        <w:pStyle w:val="Heading1"/>
      </w:pPr>
      <w:r>
        <w:t>Aufgenommen am 14.10.2026</w:t>
      </w:r>
    </w:p>
    <w:p>
      <w:pPr>
        <w:pStyle w:val="Heading2"/>
      </w:pPr>
      <w:r>
        <w:t>Temperaturextreme und Autoimmunerkrankungen</w:t>
      </w:r>
    </w:p>
    <w:p>
      <w:r>
        <w:rPr>
          <w:i/>
          <w:color w:val="666666"/>
          <w:sz w:val="18"/>
        </w:rPr>
        <w:t>Robichon K et al.  ·  Semin Immunopathol  ·  13.10.2026  ·  PMID 42867511</w:t>
      </w:r>
    </w:p>
    <w:p>
      <w:r>
        <w:t>Narrative Übersichtsarbeit über die biologischen Mechanismen, durch die Hitze und Kälte die Entwicklung und den Krankheitsverlauf von Autoimmunerkrankungen beeinflussen.</w:t>
      </w:r>
    </w:p>
    <w:p>
      <w:r>
        <w:rPr>
          <w:b/>
        </w:rPr>
        <w:t xml:space="preserve">Ergebnis: </w:t>
      </w:r>
      <w:r>
        <w:t>Hitze und Kälte verändern Immunzellfunktion durch Effekte auf Zellsignalisierung, Zytokinproduktion und Barrierenintegrität. Evidenz zeigt saisonale/regionale Temperaturmuster mit Raten von Autoimmunerkrankungen assoziiert; Hitzewellen verschärfen Fatigue und neurologische Symptome bei Multipler Sklerose, Kältephasen triggern Gefäßverengung und Gewebenekrose bei systemischer Sklerose.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Mitteleuropäische Klimazone, mechanismusbasierte Prinzipien unabhängig von Temperaturschwellen</w:t>
      </w:r>
    </w:p>
    <w:p>
      <w:r>
        <w:rPr>
          <w:color w:val="5A7D3A"/>
          <w:sz w:val="18"/>
        </w:rPr>
        <w:t>https://pubmed.ncbi.nlm.nih.gov/42867511/</w:t>
      </w:r>
    </w:p>
    <w:p>
      <w:pPr>
        <w:pStyle w:val="Heading2"/>
      </w:pPr>
      <w:r>
        <w:t>Kyasanur-Waldkrankheit: Klimawandel und Zoonose-Risiko in Europa</w:t>
      </w:r>
    </w:p>
    <w:p>
      <w:r>
        <w:rPr>
          <w:i/>
          <w:color w:val="666666"/>
          <w:sz w:val="18"/>
        </w:rPr>
        <w:t>Špačková M et al.  ·  Epidemiol Mikrobiol Imunol  ·  2026  ·  PMID 42859865</w:t>
      </w:r>
    </w:p>
    <w:p>
      <w:r>
        <w:t>Narrative Übersichtsarbeit zur Kyasanur-Waldkrankheit, einer durch Klimawandel, Entwaldung und erhöhten Menschenkontakt mit Wäldern expandierenden Zoonose in Indien, mit Bewertung des Risikos für die Tschechische Republik.</w:t>
      </w:r>
    </w:p>
    <w:p>
      <w:r>
        <w:rPr>
          <w:b/>
        </w:rPr>
        <w:t xml:space="preserve">Ergebnis: </w:t>
      </w:r>
      <w:r>
        <w:t>Kyasanur-Waldkrankheit ist eine Zecken-übertragene hämorrhagische Erkrankung mit Fallsterblichkeit 3–10%; Fälle in Indien nehmen zu, Verbreitungsgebiet expandiert. Ausbreitungsgebiete an Klimawandel, Entwaldung und menschliche Waldkontakte gebunden. In der Tschechischen Republik bislang nicht gemeldet, aber importierte Fälle nach Reisen möglich. One-Health-Ansatz und verstärkte Surveillance arboviraler Erreger in Mitteleuropa erforderlich.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Mitteleuropa, klimazonale Anpassung aktuell nicht betroffen; Surveillance-Struktur und One-Health-Prinzipien relevant</w:t>
      </w:r>
    </w:p>
    <w:p>
      <w:r>
        <w:rPr>
          <w:color w:val="5A7D3A"/>
          <w:sz w:val="18"/>
        </w:rPr>
        <w:t>https://pubmed.ncbi.nlm.nih.gov/42859865/</w:t>
      </w:r>
    </w:p>
    <w:p>
      <w:pPr>
        <w:pStyle w:val="Heading2"/>
      </w:pPr>
      <w:r>
        <w:t>Luftverschmutzung und Frühauftreten von Lungenkrebs</w:t>
      </w:r>
    </w:p>
    <w:p>
      <w:r>
        <w:rPr>
          <w:i/>
          <w:color w:val="666666"/>
          <w:sz w:val="18"/>
        </w:rPr>
        <w:t>Gao YY et al.  ·  Carcinogenesis  ·  07.07.2026  ·  PMID 42830393</w:t>
      </w:r>
    </w:p>
    <w:p>
      <w:r>
        <w:t>Narrative Übersichtsarbeit zu Mechanismen, durch die Luft- und Haushaltsverschmutzung frühe Lungenkarzinogenese antreiben, und zu frühen Biomarkern und Chemoprävention.</w:t>
      </w:r>
    </w:p>
    <w:p>
      <w:r>
        <w:rPr>
          <w:b/>
        </w:rPr>
        <w:t xml:space="preserve">Ergebnis: </w:t>
      </w:r>
      <w:r>
        <w:t>Luftverschmutzung (PM2,5, PM10) ist für &gt;14% der globalen Lungenkrebstodesfälle verantwortlich. 99% der Weltbevölkerung atmet Luft über WHO-Richtliniengrenzen (5 μg/m³ PM2,5, 15 μg/m³ PM10). Mechanismen: DNA-Schaden, Telomerverkürzung, mitochondriale Beeinträchtigung, chronische Inflammation (CXCL13, IL-1β), Immunevasion (PD-L1, CD47-SIRPα), Dysbiose. Validierte Frühbiomarker vorhanden; Multimarker-Kombinationen zeigen verbesserte Effizienz.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Global relevant, absolute Schwellwerte für Deutschland übertragbar</w:t>
      </w:r>
    </w:p>
    <w:p>
      <w:r>
        <w:rPr>
          <w:color w:val="5A7D3A"/>
          <w:sz w:val="18"/>
        </w:rPr>
        <w:t>https://pubmed.ncbi.nlm.nih.gov/42830393/</w:t>
      </w:r>
    </w:p>
    <w:p>
      <w:pPr>
        <w:pStyle w:val="Heading2"/>
      </w:pPr>
      <w:r>
        <w:t>Luftschadstoffexposition in der Frühschwangerschaft und angeborene Herzfehler</w:t>
      </w:r>
    </w:p>
    <w:p>
      <w:r>
        <w:rPr>
          <w:i/>
          <w:color w:val="666666"/>
          <w:sz w:val="18"/>
        </w:rPr>
        <w:t>Kukshal P et al.  ·  Indian J Pediatr  ·  02.10.2026  ·  PMID 42825890</w:t>
      </w:r>
    </w:p>
    <w:p>
      <w:r>
        <w:t>Fall-Kontroll-Studie mit 1.556 Teilnehmern (1.115 Fälle, 441 Kontrollen) zur Assoziation perikonzeptioneller Luftschadstoffexposition (PM2,5, PM10, NO2, AQI) mit angeborenen Herzfehlern in Delhi-NCR.</w:t>
      </w:r>
    </w:p>
    <w:p>
      <w:r>
        <w:rPr>
          <w:b/>
        </w:rPr>
        <w:t xml:space="preserve">Ergebnis: </w:t>
      </w:r>
      <w:r>
        <w:t>Perikonzeptionelle Exposition gegenüber schlechtem AQI und PM10 signifikant assoziiert mit erhöhtem Risiko angeborener Herzfehler. Post-Konzeptionsperiode zeigte stärkste Assoziationen: schlechter AQI für alle Herzfehler (AOR=2,74, 95%-KI: 1,78–4,22), PM10 für alle Herzfehler (AOR=3,36, 95%-KI: 2,05–5,52); Ventrikelseptumdefekt konsistent mit PM10 assoziiert (prä-konzeptionell AOR=3,13, post-konzeptionell AOR=4,35).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Südasien, Temperaturschwellen nicht übertragbar; Expositionsfenster-Methodik und Präventionsprinzipien anwendbar</w:t>
      </w:r>
    </w:p>
    <w:p>
      <w:r>
        <w:rPr>
          <w:color w:val="5A7D3A"/>
          <w:sz w:val="18"/>
        </w:rPr>
        <w:t>https://pubmed.ncbi.nlm.nih.gov/42825890/</w:t>
      </w:r>
    </w:p>
    <w:p>
      <w:pPr>
        <w:pStyle w:val="Heading2"/>
      </w:pPr>
      <w:r>
        <w:t>Todesfälle durch Hitze und Hitzschlag bei Kindern und Erwachsenen</w:t>
      </w:r>
    </w:p>
    <w:p>
      <w:r>
        <w:rPr>
          <w:i/>
          <w:color w:val="666666"/>
          <w:sz w:val="18"/>
        </w:rPr>
        <w:t>Can A et al.  ·  Leg Med (Tokyo)  ·  29.09.2026  ·  PMID 42815323</w:t>
      </w:r>
    </w:p>
    <w:p>
      <w:r>
        <w:t>Retrospektive Obduktionsanalyse von 22 Hitzschlag-Todesfällen (2015–2024) in der Türkei zur Charakterisierung demografischer, umgebungsbezogener und pathologischer Muster bei Kindern und Erwachsenen.</w:t>
      </w:r>
    </w:p>
    <w:p>
      <w:r>
        <w:rPr>
          <w:b/>
        </w:rPr>
        <w:t xml:space="preserve">Ergebnis: </w:t>
      </w:r>
      <w:r>
        <w:t>12 Kinder, 10 Erwachsene; 68,2% männlich. 91,7% der Kindertodesfälle in geparkten Fahrzeugen; Erwachsenentodesfälle überwiegend im Freien und berufliche Exposition. Maximale Umgebungstemperatur ≥35 °C an 72,7% der Tage (Median 37,0 °C). 86,4% ohne vorherigen Arztkontakt. Keine spezifische Obduktionsfindung; Diagnose beruhte auf Szene-/Meteorologiedaten plus Ausschlussdiagnose.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Südtürkei, klimawärmer als Deutschland; Präventionsansätze nach Alter/Expositionskontext übertragbar</w:t>
      </w:r>
    </w:p>
    <w:p>
      <w:r>
        <w:rPr>
          <w:color w:val="5A7D3A"/>
          <w:sz w:val="18"/>
        </w:rPr>
        <w:t>https://pubmed.ncbi.nlm.nih.gov/42815323/</w:t>
      </w:r>
    </w:p>
    <w:p>
      <w:pPr>
        <w:pStyle w:val="Heading2"/>
      </w:pPr>
      <w:r>
        <w:t>Grünflächenausstattung und mentale Gesundheit in französischer Stadt</w:t>
      </w:r>
    </w:p>
    <w:p>
      <w:r>
        <w:rPr>
          <w:i/>
          <w:color w:val="666666"/>
          <w:sz w:val="18"/>
        </w:rPr>
        <w:t>Sicard P et al.  ·  J Environ Manage  ·  01.10.2026  ·  PMID 42784923</w:t>
      </w:r>
    </w:p>
    <w:p>
      <w:r>
        <w:t>Querschnittsstudie mit 1.195 Erwachsenen in Aix-en-Provence zur Assoziation von Grünflächenverfügbarkeit (3-30-300 Regel) mit selbstberichteter psychischer Gesundheit und Verhaltensoutcomes.</w:t>
      </w:r>
    </w:p>
    <w:p>
      <w:r>
        <w:rPr>
          <w:b/>
        </w:rPr>
        <w:t xml:space="preserve">Ergebnis: </w:t>
      </w:r>
      <w:r>
        <w:t>Höhere Baumbestände im Distrikt assoziiert mit besserer Schlafqualität (β=0,0059, 95%-KI: 0,0017–0,0101), weniger Traurheit (β=−0,0066, 95%-KI: −0,0125–−0,0006) und Angstsymptomen (β=−0,0073, 95%-KI: −0,0159–0,0014); Gebäude mit mindestens zwei Komponenten der 3-30-300 Regel assoziiert mit besserer mentaler Gesundheit (β=0,0054) und niedrigerem Stress (β=−0,0081, p&lt;0,05).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Südeuropa, urbane Planungsprinzipien auf mediterrane Mittelstadt übertragbar</w:t>
      </w:r>
    </w:p>
    <w:p>
      <w:r>
        <w:rPr>
          <w:color w:val="5A7D3A"/>
          <w:sz w:val="18"/>
        </w:rPr>
        <w:t>https://pubmed.ncbi.nlm.nih.gov/42784923/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Hitze, Klima und Gesundheit</dc:title>
  <dc:subject/>
  <dc:creator>Monitor Versorgungsforschung</dc:creator>
  <cp:keywords/>
  <dc:description>generated by python-docx</dc:description>
  <cp:lastModifiedBy/>
  <cp:revision>1</cp:revision>
  <dcterms:created xsi:type="dcterms:W3CDTF">2026-10-14T06:00:00Z</dcterms:created>
  <dcterms:modified xsi:type="dcterms:W3CDTF">2026-10-14T06:00:00Z</dcterms:modified>
  <cp:category/>
</cp:coreProperties>
</file>