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Hitze, Klima und Gesundheit</w:t>
      </w:r>
    </w:p>
    <w:p>
      <w:r>
        <w:rPr>
          <w:i/>
          <w:color w:val="666666"/>
          <w:sz w:val="18"/>
        </w:rPr>
        <w:t>Stand: 27.10.2026  |  6 Studien  |  klima.m-vf.de</w:t>
      </w:r>
    </w:p>
    <w:p>
      <w:pPr>
        <w:pStyle w:val="Heading1"/>
      </w:pPr>
      <w:r>
        <w:t>Aufgenommen am 27.10.2026</w:t>
      </w:r>
    </w:p>
    <w:p>
      <w:pPr>
        <w:pStyle w:val="Heading2"/>
      </w:pPr>
      <w:r>
        <w:t>Geburtsgewicht und Klimafaktoren: Frühwarnsystem in Westafrika</w:t>
      </w:r>
    </w:p>
    <w:p>
      <w:r>
        <w:rPr>
          <w:i/>
          <w:color w:val="666666"/>
          <w:sz w:val="18"/>
        </w:rPr>
        <w:t>Shukla S et al.  ·  Proc Natl Acad Sci U S A  ·  03.11.2026  ·  PMID 42932648</w:t>
      </w:r>
    </w:p>
    <w:p>
      <w:r>
        <w:t>Testung von Prognosemodellen für niedriges Geburtsgewicht unter Nutzung subsaisonaler bis saisonaler Klimavariablen und sozioökonomischer Indikatoren in Burkina Faso, Mali und Senegal.</w:t>
      </w:r>
    </w:p>
    <w:p>
      <w:r>
        <w:rPr>
          <w:b/>
        </w:rPr>
        <w:t xml:space="preserve">Ergebnis: </w:t>
      </w:r>
      <w:r>
        <w:t>Modelle mit vollständigen DHS-Variablen zeigten Vorhersagefehler von 13,5–25 %. Reine Klimamodelle erreichten vergleichbare Genauigkeit (1–5 % Abweichung). Höchste Vorhersagekraft für Kinder mit maximaler pränataler Exposition in der Trockenzeit (Aussaat-Ernteperiode).</w:t>
      </w:r>
    </w:p>
    <w:p>
      <w:r>
        <w:rPr>
          <w:b/>
          <w:sz w:val="19"/>
        </w:rPr>
        <w:t xml:space="preserve">Übertragbarkeit: </w:t>
      </w:r>
      <w:r>
        <w:rPr>
          <w:sz w:val="19"/>
        </w:rPr>
        <w:t>Subsahara-Afrika, Tropen – nur Modellierungsmethodik übertragbar, nicht die Schwellenwerte.</w:t>
      </w:r>
    </w:p>
    <w:p>
      <w:r>
        <w:rPr>
          <w:color w:val="5A7D3A"/>
          <w:sz w:val="18"/>
        </w:rPr>
        <w:t>https://pubmed.ncbi.nlm.nih.gov/42932648/</w:t>
      </w:r>
    </w:p>
    <w:p>
      <w:pPr>
        <w:pStyle w:val="Heading2"/>
      </w:pPr>
      <w:r>
        <w:t>Thermischer Komfort auf Schulhöfen: Strategien gegen Hitzebelastung</w:t>
      </w:r>
    </w:p>
    <w:p>
      <w:r>
        <w:rPr>
          <w:i/>
          <w:color w:val="666666"/>
          <w:sz w:val="18"/>
        </w:rPr>
        <w:t>Sadeghian G et al.  ·  Int J Biometeorol  ·  26.10.2026  ·  PMID 42931950</w:t>
      </w:r>
    </w:p>
    <w:p>
      <w:r>
        <w:t>Systematische Übersicht von 35 Studien (2015–2025) über thermischen Komfort im Freien an Schulen unter Bedingungen von Hitzeextremen und Klimawandel.</w:t>
      </w:r>
    </w:p>
    <w:p>
      <w:r>
        <w:rPr>
          <w:b/>
        </w:rPr>
        <w:t xml:space="preserve">Ergebnis: </w:t>
      </w:r>
      <w:r>
        <w:t>Vegetation und Beschattung sind die wirksamsten Minderungsmaßnahmen gegen Sommerhitze auf Schulhöfen. Der Fokus liegt auf Mittelmeerraum und feuchten Subtropen; Studien kombinieren Feldmessungen mit numerischen Simulationen und zunehmend subjektive Verhaltensmaße.</w:t>
      </w:r>
    </w:p>
    <w:p>
      <w:r>
        <w:rPr>
          <w:b/>
          <w:sz w:val="19"/>
        </w:rPr>
        <w:t xml:space="preserve">Übertragbarkeit: </w:t>
      </w:r>
      <w:r>
        <w:rPr>
          <w:sz w:val="19"/>
        </w:rPr>
        <w:t>Mittelmeerländer und subtropische Zonen – Temperaturschwellen nicht auf Deutschland übertragbar; Methodik der Intervention relevant.</w:t>
      </w:r>
    </w:p>
    <w:p>
      <w:r>
        <w:rPr>
          <w:color w:val="5A7D3A"/>
          <w:sz w:val="18"/>
        </w:rPr>
        <w:t>https://pubmed.ncbi.nlm.nih.gov/42931950/</w:t>
      </w:r>
    </w:p>
    <w:p>
      <w:pPr>
        <w:pStyle w:val="Heading2"/>
      </w:pPr>
      <w:r>
        <w:t>Globale Ozonbelastung: 500.000 zusätzliche COPD-Todesfälle bis 2020</w:t>
      </w:r>
    </w:p>
    <w:p>
      <w:r>
        <w:rPr>
          <w:i/>
          <w:color w:val="666666"/>
          <w:sz w:val="18"/>
        </w:rPr>
        <w:t>Kerr GH et al.  ·  Philos Trans A Math Phys Eng Sci  ·  26.10.2026  ·  PMID 42929037</w:t>
      </w:r>
    </w:p>
    <w:p>
      <w:r>
        <w:t>Metaanalyse der weltweiten Ozonkonzentrationen und ihrer Auswirkungen auf chronische Atemwegserkrankungen von 2000 bis 2020.</w:t>
      </w:r>
    </w:p>
    <w:p>
      <w:r>
        <w:rPr>
          <w:b/>
        </w:rPr>
        <w:t xml:space="preserve">Ergebnis: </w:t>
      </w:r>
      <w:r>
        <w:t>Die attributablen Todesfälle durch chronische Ozonexposition verdoppelten sich von 2000 bis 2020 auf etwa 500.000 Todesfälle pro Jahr global. Während Nordamerika und Europa sinkende Mortalität zeigten, stiegen die Todesfälle im Globalen Süden deutlich an.</w:t>
      </w:r>
    </w:p>
    <w:p>
      <w:r>
        <w:rPr>
          <w:b/>
          <w:sz w:val="19"/>
        </w:rPr>
        <w:t xml:space="preserve">Übertragbarkeit: </w:t>
      </w:r>
      <w:r>
        <w:rPr>
          <w:sz w:val="19"/>
        </w:rPr>
        <w:t>Globale Trends; Europa mit Verbesserungen – nur die Methodik zur Quantifizierung von Umweltlasten übertragbar.</w:t>
      </w:r>
    </w:p>
    <w:p>
      <w:r>
        <w:rPr>
          <w:color w:val="5A7D3A"/>
          <w:sz w:val="18"/>
        </w:rPr>
        <w:t>https://pubmed.ncbi.nlm.nih.gov/42929037/</w:t>
      </w:r>
    </w:p>
    <w:p>
      <w:pPr>
        <w:pStyle w:val="Heading2"/>
      </w:pPr>
      <w:r>
        <w:t>Soziale Schutzprogramme und Klimaresilienz informeller Arbeiter in Pakistan</w:t>
      </w:r>
    </w:p>
    <w:p>
      <w:r>
        <w:rPr>
          <w:i/>
          <w:color w:val="666666"/>
          <w:sz w:val="18"/>
        </w:rPr>
        <w:t>Khattak MI et al.  ·  BMC Public Health  ·  29.07.2026  ·  PMID 42928157</w:t>
      </w:r>
    </w:p>
    <w:p>
      <w:r>
        <w:t>Qualitative phänomenologische Studie mit 30 Interviews und 6 Fokusgruppen zur Rolle von Sozialschutzprogrammen für Klimaresilienz informeller Arbeiter in drei Klimazonen Khyber Pakhtunkwas.</w:t>
      </w:r>
    </w:p>
    <w:p>
      <w:r>
        <w:rPr>
          <w:b/>
        </w:rPr>
        <w:t xml:space="preserve">Ergebnis: </w:t>
      </w:r>
      <w:r>
        <w:t>Fünf Themenkomplexe identifiziert: unzureichende flexible Finanzhilfen, Zugangsbarrieren zu Sozialhilfe, geschlechtsspezifische Hemmnisse, informelle Anpassungsstrategien (soziale Netzwerke, gegenseitige Hilfe) und Bedarf für klimasensitive Programme. Bestehende Systeme bieten kritische, aber begrenzte Hilfe.</w:t>
      </w:r>
    </w:p>
    <w:p>
      <w:r>
        <w:rPr>
          <w:b/>
          <w:sz w:val="19"/>
        </w:rPr>
        <w:t xml:space="preserve">Übertragbarkeit: </w:t>
      </w:r>
      <w:r>
        <w:rPr>
          <w:sz w:val="19"/>
        </w:rPr>
        <w:t>Pakistan, Südasien – Struktur und Gendered-Aspekte informeller Resilienz relevant, nicht absolute Ressourcenniveaus.</w:t>
      </w:r>
    </w:p>
    <w:p>
      <w:r>
        <w:rPr>
          <w:color w:val="5A7D3A"/>
          <w:sz w:val="18"/>
        </w:rPr>
        <w:t>https://pubmed.ncbi.nlm.nih.gov/42928157/</w:t>
      </w:r>
    </w:p>
    <w:p>
      <w:pPr>
        <w:pStyle w:val="Heading2"/>
      </w:pPr>
      <w:r>
        <w:t>Extremhitze bei Erwachsenen: Pflegeverantwortung und Gesundheitsrisiken</w:t>
      </w:r>
    </w:p>
    <w:p>
      <w:r>
        <w:rPr>
          <w:i/>
          <w:color w:val="666666"/>
          <w:sz w:val="18"/>
        </w:rPr>
        <w:t>Bernhardt JM  ·  Nurs Clin North Am  ·  09.07.2026  ·  PMID 42919507</w:t>
      </w:r>
    </w:p>
    <w:p>
      <w:r>
        <w:t>Narrative Übersichtsarbeit zur Pathophysiologie von Hitze, Gesundheitsfolgen, Vulnerabilität und Implikationen für Pflegefachpersonen.</w:t>
      </w:r>
    </w:p>
    <w:p>
      <w:r>
        <w:rPr>
          <w:b/>
        </w:rPr>
        <w:t xml:space="preserve">Ergebnis: </w:t>
      </w:r>
      <w:r>
        <w:t>Extremhitze ist eine der unmittelbarsten und tödlichsten Gesundheitsbedrohungen des Klimawandels. Besonders gefährdet sind Erwachsene mit chronischen Erkrankungen, beruflicher Hitzeexposition, niedriger Sozioökonomie oder eingeschränktem Kühlungszugang. Hitzewellen werden häufiger, intensiver und länger.</w:t>
      </w:r>
    </w:p>
    <w:p>
      <w:r>
        <w:rPr>
          <w:b/>
          <w:sz w:val="19"/>
        </w:rPr>
        <w:t xml:space="preserve">Übertragbarkeit: </w:t>
      </w:r>
      <w:r>
        <w:rPr>
          <w:sz w:val="19"/>
        </w:rPr>
        <w:t>Konzeptionelle Arbeit zu Hitze-Pathophysiologie; gemäßigte Klimazonen und Deutschland relevant für Risikogruppen-Definition.</w:t>
      </w:r>
    </w:p>
    <w:p>
      <w:r>
        <w:rPr>
          <w:color w:val="5A7D3A"/>
          <w:sz w:val="18"/>
        </w:rPr>
        <w:t>https://pubmed.ncbi.nlm.nih.gov/42919507/</w:t>
      </w:r>
    </w:p>
    <w:p>
      <w:pPr>
        <w:pStyle w:val="Heading2"/>
      </w:pPr>
      <w:r>
        <w:t>Chagas-Vektor breitet sich in Mexiko aus: Klimawandel treibt Arealausweitung</w:t>
      </w:r>
    </w:p>
    <w:p>
      <w:r>
        <w:rPr>
          <w:i/>
          <w:color w:val="666666"/>
          <w:sz w:val="18"/>
        </w:rPr>
        <w:t>Carbajal-Olivier BI et al.  ·  Mem Inst Oswaldo Cruz  ·  16.10.2026  ·  PMID 42912046</w:t>
      </w:r>
    </w:p>
    <w:p>
      <w:r>
        <w:t>Molekulare und epidemiologische Identifikation von Triatoma-Arten in neuen Regionen Oaxacas und Dokumentation der geografischen Ausbreitung in Zusammenhang mit Klimawandel, Urbanisierung und Migration.</w:t>
      </w:r>
    </w:p>
    <w:p>
      <w:r>
        <w:rPr>
          <w:b/>
        </w:rPr>
        <w:t xml:space="preserve">Ergebnis: </w:t>
      </w:r>
      <w:r>
        <w:t>Zwei Triatominae-Spezies wurden erstmals in La-Cañada-Region gemeldet. Die Arealausweitung erhöht das Infektionsrisiko in bisher nicht endemischen Gebieten, insbesondere angesichts der höheren CD-Prävalenz in Oaxaca.</w:t>
      </w:r>
    </w:p>
    <w:p>
      <w:r>
        <w:rPr>
          <w:b/>
          <w:sz w:val="19"/>
        </w:rPr>
        <w:t xml:space="preserve">Übertragbarkeit: </w:t>
      </w:r>
      <w:r>
        <w:rPr>
          <w:sz w:val="19"/>
        </w:rPr>
        <w:t>Lateinamerika, Mexiko – zeigt prinzipielle Vektor-Ausbreitung durch Klimawandel, Übertragbarkeit auf globale Südregionen.</w:t>
      </w:r>
    </w:p>
    <w:p>
      <w:r>
        <w:rPr>
          <w:color w:val="5A7D3A"/>
          <w:sz w:val="18"/>
        </w:rPr>
        <w:t>https://pubmed.ncbi.nlm.nih.gov/42912046/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Hitze, Klima und Gesundheit</dc:title>
  <dc:subject/>
  <dc:creator>Monitor Versorgungsforschung</dc:creator>
  <cp:keywords/>
  <dc:description>generated by python-docx</dc:description>
  <cp:lastModifiedBy/>
  <cp:revision>1</cp:revision>
  <dcterms:created xsi:type="dcterms:W3CDTF">2026-10-27T06:00:00Z</dcterms:created>
  <dcterms:modified xsi:type="dcterms:W3CDTF">2026-10-27T06:00:00Z</dcterms:modified>
  <cp:category/>
</cp:coreProperties>
</file>