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27.10.2026  |  395 Studien  |  klima.m-vf.de</w:t>
      </w:r>
    </w:p>
    <w:p>
      <w:pPr>
        <w:pStyle w:val="Heading1"/>
      </w:pPr>
      <w:r>
        <w:t>Aufgenommen am 27.10.2026</w:t>
      </w:r>
    </w:p>
    <w:p>
      <w:pPr>
        <w:pStyle w:val="Heading2"/>
      </w:pPr>
      <w:r>
        <w:t>Geburtsgewicht und Klimafaktoren: Frühwarnsystem in Westafrika</w:t>
      </w:r>
    </w:p>
    <w:p>
      <w:r>
        <w:rPr>
          <w:i/>
          <w:color w:val="666666"/>
          <w:sz w:val="18"/>
        </w:rPr>
        <w:t>Shukla S et al.  ·  Proc Natl Acad Sci U S A  ·  03.11.2026  ·  PMID 42932648</w:t>
      </w:r>
    </w:p>
    <w:p>
      <w:r>
        <w:t>Testung von Prognosemodellen für niedriges Geburtsgewicht unter Nutzung subsaisonaler bis saisonaler Klimavariablen und sozioökonomischer Indikatoren in Burkina Faso, Mali und Senegal.</w:t>
      </w:r>
    </w:p>
    <w:p>
      <w:r>
        <w:rPr>
          <w:b/>
        </w:rPr>
        <w:t xml:space="preserve">Ergebnis: </w:t>
      </w:r>
      <w:r>
        <w:t>Modelle mit vollständigen DHS-Variablen zeigten Vorhersagefehler von 13,5–25 %. Reine Klimamodelle erreichten vergleichbare Genauigkeit (1–5 % Abweichung). Höchste Vorhersagekraft für Kinder mit maximaler pränataler Exposition in der Trockenzeit (Aussaat-Ernteperiode).</w:t>
      </w:r>
    </w:p>
    <w:p>
      <w:r>
        <w:rPr>
          <w:b/>
          <w:sz w:val="19"/>
        </w:rPr>
        <w:t xml:space="preserve">Übertragbarkeit: </w:t>
      </w:r>
      <w:r>
        <w:rPr>
          <w:sz w:val="19"/>
        </w:rPr>
        <w:t>Subsahara-Afrika, Tropen – nur Modellierungsmethodik übertragbar, nicht die Schwellenwerte.</w:t>
      </w:r>
    </w:p>
    <w:p>
      <w:r>
        <w:rPr>
          <w:color w:val="5A7D3A"/>
          <w:sz w:val="18"/>
        </w:rPr>
        <w:t>https://pubmed.ncbi.nlm.nih.gov/42932648/</w:t>
      </w:r>
    </w:p>
    <w:p>
      <w:pPr>
        <w:pStyle w:val="Heading2"/>
      </w:pPr>
      <w:r>
        <w:t>Thermischer Komfort auf Schulhöfen: Strategien gegen Hitzebelastung</w:t>
      </w:r>
    </w:p>
    <w:p>
      <w:r>
        <w:rPr>
          <w:i/>
          <w:color w:val="666666"/>
          <w:sz w:val="18"/>
        </w:rPr>
        <w:t>Sadeghian G et al.  ·  Int J Biometeorol  ·  26.10.2026  ·  PMID 42931950</w:t>
      </w:r>
    </w:p>
    <w:p>
      <w:r>
        <w:t>Systematische Übersicht von 35 Studien (2015–2025) über thermischen Komfort im Freien an Schulen unter Bedingungen von Hitzeextremen und Klimawandel.</w:t>
      </w:r>
    </w:p>
    <w:p>
      <w:r>
        <w:rPr>
          <w:b/>
        </w:rPr>
        <w:t xml:space="preserve">Ergebnis: </w:t>
      </w:r>
      <w:r>
        <w:t>Vegetation und Beschattung sind die wirksamsten Minderungsmaßnahmen gegen Sommerhitze auf Schulhöfen. Der Fokus liegt auf Mittelmeerraum und feuchten Subtropen; Studien kombinieren Feldmessungen mit numerischen Simulationen und zunehmend subjektive Verhaltensmaße.</w:t>
      </w:r>
    </w:p>
    <w:p>
      <w:r>
        <w:rPr>
          <w:b/>
          <w:sz w:val="19"/>
        </w:rPr>
        <w:t xml:space="preserve">Übertragbarkeit: </w:t>
      </w:r>
      <w:r>
        <w:rPr>
          <w:sz w:val="19"/>
        </w:rPr>
        <w:t>Mittelmeerländer und subtropische Zonen – Temperaturschwellen nicht auf Deutschland übertragbar; Methodik der Intervention relevant.</w:t>
      </w:r>
    </w:p>
    <w:p>
      <w:r>
        <w:rPr>
          <w:color w:val="5A7D3A"/>
          <w:sz w:val="18"/>
        </w:rPr>
        <w:t>https://pubmed.ncbi.nlm.nih.gov/42931950/</w:t>
      </w:r>
    </w:p>
    <w:p>
      <w:pPr>
        <w:pStyle w:val="Heading2"/>
      </w:pPr>
      <w:r>
        <w:t>Globale Ozonbelastung: 500.000 zusätzliche COPD-Todesfälle bis 2020</w:t>
      </w:r>
    </w:p>
    <w:p>
      <w:r>
        <w:rPr>
          <w:i/>
          <w:color w:val="666666"/>
          <w:sz w:val="18"/>
        </w:rPr>
        <w:t>Kerr GH et al.  ·  Philos Trans A Math Phys Eng Sci  ·  26.10.2026  ·  PMID 42929037</w:t>
      </w:r>
    </w:p>
    <w:p>
      <w:r>
        <w:t>Metaanalyse der weltweiten Ozonkonzentrationen und ihrer Auswirkungen auf chronische Atemwegserkrankungen von 2000 bis 2020.</w:t>
      </w:r>
    </w:p>
    <w:p>
      <w:r>
        <w:rPr>
          <w:b/>
        </w:rPr>
        <w:t xml:space="preserve">Ergebnis: </w:t>
      </w:r>
      <w:r>
        <w:t>Die attributablen Todesfälle durch chronische Ozonexposition verdoppelten sich von 2000 bis 2020 auf etwa 500.000 Todesfälle pro Jahr global. Während Nordamerika und Europa sinkende Mortalität zeigten, stiegen die Todesfälle im Globalen Süden deutlich an.</w:t>
      </w:r>
    </w:p>
    <w:p>
      <w:r>
        <w:rPr>
          <w:b/>
          <w:sz w:val="19"/>
        </w:rPr>
        <w:t xml:space="preserve">Übertragbarkeit: </w:t>
      </w:r>
      <w:r>
        <w:rPr>
          <w:sz w:val="19"/>
        </w:rPr>
        <w:t>Globale Trends; Europa mit Verbesserungen – nur die Methodik zur Quantifizierung von Umweltlasten übertragbar.</w:t>
      </w:r>
    </w:p>
    <w:p>
      <w:r>
        <w:rPr>
          <w:color w:val="5A7D3A"/>
          <w:sz w:val="18"/>
        </w:rPr>
        <w:t>https://pubmed.ncbi.nlm.nih.gov/42929037/</w:t>
      </w:r>
    </w:p>
    <w:p>
      <w:pPr>
        <w:pStyle w:val="Heading2"/>
      </w:pPr>
      <w:r>
        <w:t>Soziale Schutzprogramme und Klimaresilienz informeller Arbeiter in Pakistan</w:t>
      </w:r>
    </w:p>
    <w:p>
      <w:r>
        <w:rPr>
          <w:i/>
          <w:color w:val="666666"/>
          <w:sz w:val="18"/>
        </w:rPr>
        <w:t>Khattak MI et al.  ·  BMC Public Health  ·  29.07.2026  ·  PMID 42928157</w:t>
      </w:r>
    </w:p>
    <w:p>
      <w:r>
        <w:t>Qualitative phänomenologische Studie mit 30 Interviews und 6 Fokusgruppen zur Rolle von Sozialschutzprogrammen für Klimaresilienz informeller Arbeiter in drei Klimazonen Khyber Pakhtunkwas.</w:t>
      </w:r>
    </w:p>
    <w:p>
      <w:r>
        <w:rPr>
          <w:b/>
        </w:rPr>
        <w:t xml:space="preserve">Ergebnis: </w:t>
      </w:r>
      <w:r>
        <w:t>Fünf Themenkomplexe identifiziert: unzureichende flexible Finanzhilfen, Zugangsbarrieren zu Sozialhilfe, geschlechtsspezifische Hemmnisse, informelle Anpassungsstrategien (soziale Netzwerke, gegenseitige Hilfe) und Bedarf für klimasensitive Programme. Bestehende Systeme bieten kritische, aber begrenzte Hilfe.</w:t>
      </w:r>
    </w:p>
    <w:p>
      <w:r>
        <w:rPr>
          <w:b/>
          <w:sz w:val="19"/>
        </w:rPr>
        <w:t xml:space="preserve">Übertragbarkeit: </w:t>
      </w:r>
      <w:r>
        <w:rPr>
          <w:sz w:val="19"/>
        </w:rPr>
        <w:t>Pakistan, Südasien – Struktur und Gendered-Aspekte informeller Resilienz relevant, nicht absolute Ressourcenniveaus.</w:t>
      </w:r>
    </w:p>
    <w:p>
      <w:r>
        <w:rPr>
          <w:color w:val="5A7D3A"/>
          <w:sz w:val="18"/>
        </w:rPr>
        <w:t>https://pubmed.ncbi.nlm.nih.gov/42928157/</w:t>
      </w:r>
    </w:p>
    <w:p>
      <w:pPr>
        <w:pStyle w:val="Heading2"/>
      </w:pPr>
      <w:r>
        <w:t>Extremhitze bei Erwachsenen: Pflegeverantwortung und Gesundheitsrisiken</w:t>
      </w:r>
    </w:p>
    <w:p>
      <w:r>
        <w:rPr>
          <w:i/>
          <w:color w:val="666666"/>
          <w:sz w:val="18"/>
        </w:rPr>
        <w:t>Bernhardt JM  ·  Nurs Clin North Am  ·  09.07.2026  ·  PMID 42919507</w:t>
      </w:r>
    </w:p>
    <w:p>
      <w:r>
        <w:t>Narrative Übersichtsarbeit zur Pathophysiologie von Hitze, Gesundheitsfolgen, Vulnerabilität und Implikationen für Pflegefachpersonen.</w:t>
      </w:r>
    </w:p>
    <w:p>
      <w:r>
        <w:rPr>
          <w:b/>
        </w:rPr>
        <w:t xml:space="preserve">Ergebnis: </w:t>
      </w:r>
      <w:r>
        <w:t>Extremhitze ist eine der unmittelbarsten und tödlichsten Gesundheitsbedrohungen des Klimawandels. Besonders gefährdet sind Erwachsene mit chronischen Erkrankungen, beruflicher Hitzeexposition, niedriger Sozioökonomie oder eingeschränktem Kühlungszugang. Hitzewellen werden häufiger, intensiver und länger.</w:t>
      </w:r>
    </w:p>
    <w:p>
      <w:r>
        <w:rPr>
          <w:b/>
          <w:sz w:val="19"/>
        </w:rPr>
        <w:t xml:space="preserve">Übertragbarkeit: </w:t>
      </w:r>
      <w:r>
        <w:rPr>
          <w:sz w:val="19"/>
        </w:rPr>
        <w:t>Konzeptionelle Arbeit zu Hitze-Pathophysiologie; gemäßigte Klimazonen und Deutschland relevant für Risikogruppen-Definition.</w:t>
      </w:r>
    </w:p>
    <w:p>
      <w:r>
        <w:rPr>
          <w:color w:val="5A7D3A"/>
          <w:sz w:val="18"/>
        </w:rPr>
        <w:t>https://pubmed.ncbi.nlm.nih.gov/42919507/</w:t>
      </w:r>
    </w:p>
    <w:p>
      <w:pPr>
        <w:pStyle w:val="Heading2"/>
      </w:pPr>
      <w:r>
        <w:t>Chagas-Vektor breitet sich in Mexiko aus: Klimawandel treibt Arealausweitung</w:t>
      </w:r>
    </w:p>
    <w:p>
      <w:r>
        <w:rPr>
          <w:i/>
          <w:color w:val="666666"/>
          <w:sz w:val="18"/>
        </w:rPr>
        <w:t>Carbajal-Olivier BI et al.  ·  Mem Inst Oswaldo Cruz  ·  16.10.2026  ·  PMID 42912046</w:t>
      </w:r>
    </w:p>
    <w:p>
      <w:r>
        <w:t>Molekulare und epidemiologische Identifikation von Triatoma-Arten in neuen Regionen Oaxacas und Dokumentation der geografischen Ausbreitung in Zusammenhang mit Klimawandel, Urbanisierung und Migration.</w:t>
      </w:r>
    </w:p>
    <w:p>
      <w:r>
        <w:rPr>
          <w:b/>
        </w:rPr>
        <w:t xml:space="preserve">Ergebnis: </w:t>
      </w:r>
      <w:r>
        <w:t>Zwei Triatominae-Spezies wurden erstmals in La-Cañada-Region gemeldet. Die Arealausweitung erhöht das Infektionsrisiko in bisher nicht endemischen Gebieten, insbesondere angesichts der höheren CD-Prävalenz in Oaxaca.</w:t>
      </w:r>
    </w:p>
    <w:p>
      <w:r>
        <w:rPr>
          <w:b/>
          <w:sz w:val="19"/>
        </w:rPr>
        <w:t xml:space="preserve">Übertragbarkeit: </w:t>
      </w:r>
      <w:r>
        <w:rPr>
          <w:sz w:val="19"/>
        </w:rPr>
        <w:t>Lateinamerika, Mexiko – zeigt prinzipielle Vektor-Ausbreitung durch Klimawandel, Übertragbarkeit auf globale Südregionen.</w:t>
      </w:r>
    </w:p>
    <w:p>
      <w:r>
        <w:rPr>
          <w:color w:val="5A7D3A"/>
          <w:sz w:val="18"/>
        </w:rPr>
        <w:t>https://pubmed.ncbi.nlm.nih.gov/42912046/</w:t>
      </w:r>
    </w:p>
    <w:p>
      <w:pPr>
        <w:pStyle w:val="Heading1"/>
      </w:pPr>
      <w:r>
        <w:t>Aufgenommen am 26.10.2026</w:t>
      </w:r>
    </w:p>
    <w:p>
      <w:pPr>
        <w:pStyle w:val="Heading2"/>
      </w:pPr>
      <w:r>
        <w:t>Leptospirose in der Landwirtschaft: Klimawandel und Wasserkontamination als Risikofaktoren</w:t>
      </w:r>
    </w:p>
    <w:p>
      <w:r>
        <w:rPr>
          <w:i/>
          <w:color w:val="666666"/>
          <w:sz w:val="18"/>
        </w:rPr>
        <w:t>Tiraboschi MM et al.  ·  Med Lav  ·  23.10.2026  ·  PMID 42925048</w:t>
      </w:r>
    </w:p>
    <w:p>
      <w:r>
        <w:t>Fallbericht und Surveillance einer tödlichen beruflichen Leptospirose in Oberitalien mit Analyse von Klimawandel-Expositionen: Bei 16 bestätigten Fällen über 22 Monate traten 3 Todesfälle (18,8%) und 1 Behinderungsfall (6,3%) auf, 75% hatten agrarnumweltliche Expositionen.</w:t>
      </w:r>
    </w:p>
    <w:p>
      <w:r>
        <w:rPr>
          <w:b/>
        </w:rPr>
        <w:t xml:space="preserve">Ergebnis: </w:t>
      </w:r>
      <w:r>
        <w:t>Unter 16 Leptospirose-Fällen in der Lombardei betrug die Überlebensrate ohne Langzeitkomplikationen 75% (12 Fälle mit agrar-umweltlichem Bezug); Schwere-Komplikationsrate 25,0% (3 Todesfälle + 1 Invalidität). Der Klimawandel wird die europäische Ausbreitungszone und Transmissionssaison erweitern.</w:t>
      </w:r>
    </w:p>
    <w:p>
      <w:r>
        <w:rPr>
          <w:b/>
          <w:sz w:val="19"/>
        </w:rPr>
        <w:t xml:space="preserve">Übertragbarkeit: </w:t>
      </w:r>
      <w:r>
        <w:rPr>
          <w:sz w:val="19"/>
        </w:rPr>
        <w:t>Oberitalien, gemäßigte Klimazone, One-Health-Ansatz auf Deutschland übertragbar</w:t>
      </w:r>
    </w:p>
    <w:p>
      <w:r>
        <w:rPr>
          <w:color w:val="5A7D3A"/>
          <w:sz w:val="18"/>
        </w:rPr>
        <w:t>https://pubmed.ncbi.nlm.nih.gov/42925048/</w:t>
      </w:r>
    </w:p>
    <w:p>
      <w:pPr>
        <w:pStyle w:val="Heading2"/>
      </w:pPr>
      <w:r>
        <w:t>Luftverschmutzung beeinträchtigt Herzfrequenzvariabilität und Lungenfunktion bei Schulkindern</w:t>
      </w:r>
    </w:p>
    <w:p>
      <w:r>
        <w:rPr>
          <w:i/>
          <w:color w:val="666666"/>
          <w:sz w:val="18"/>
        </w:rPr>
        <w:t>Oliveira FR et al.  ·  Epidemiol Serv Saude  ·  17.06.2026  ·  PMID 42922790</w:t>
      </w:r>
    </w:p>
    <w:p>
      <w:r>
        <w:t>Querschnittsuntersuchung an 77 Schulkindern in der hochbelasteten Stadt Cubatão (Brasilien) zu Auswirkungen von Luftverschmutzung auf Herzfrequenzvariabilität (HFnu) und Lungenfunktion (FEV1, FEF25-75%).</w:t>
      </w:r>
    </w:p>
    <w:p>
      <w:r>
        <w:rPr>
          <w:b/>
        </w:rPr>
        <w:t xml:space="preserve">Ergebnis: </w:t>
      </w:r>
      <w:r>
        <w:t>Erhöhtes Schwefeldioxid assoziiert mit HFnu-Reduktion: -0,68 (95%-KI -1,27; -0,11) täglich, -0,67 über 2 Tage, -1,29 über 3 Tage (p&lt;0,001). Ozon: HFnu-Reduktion -0,32 (95%-KI -0,62; -0,02). Stickstoffdioxid: FEV1-Reduktion 0,23%, FEF25-75%-Reduktion 0,30%. Luftverschmutzung reduzierte messbar Herzfrequenzvariabilität und Lungenfunktion.</w:t>
      </w:r>
    </w:p>
    <w:p>
      <w:r>
        <w:rPr>
          <w:b/>
          <w:sz w:val="19"/>
        </w:rPr>
        <w:t xml:space="preserve">Übertragbarkeit: </w:t>
      </w:r>
      <w:r>
        <w:rPr>
          <w:sz w:val="19"/>
        </w:rPr>
        <w:t>Tropen (Brasilien) – nur Methodik übertragbar, nicht Schwellenwerte oder Anpassungsniveaus</w:t>
      </w:r>
    </w:p>
    <w:p>
      <w:r>
        <w:rPr>
          <w:color w:val="5A7D3A"/>
          <w:sz w:val="18"/>
        </w:rPr>
        <w:t>https://pubmed.ncbi.nlm.nih.gov/42922790/</w:t>
      </w:r>
    </w:p>
    <w:p>
      <w:pPr>
        <w:pStyle w:val="Heading2"/>
      </w:pPr>
      <w:r>
        <w:t>Klima, Luftverschmutzung und Extremereignisse bestimmen Influenza-Risiko</w:t>
      </w:r>
    </w:p>
    <w:p>
      <w:r>
        <w:rPr>
          <w:i/>
          <w:color w:val="666666"/>
          <w:sz w:val="18"/>
        </w:rPr>
        <w:t>Ding E et al.  ·  Environ Sci Technol  ·  22.09.2026  ·  PMID 42916219</w:t>
      </w:r>
    </w:p>
    <w:p>
      <w:r>
        <w:t>Fall-Crossover-Studie mit 630.120 Influenza-positiven Fällen aus 335 chinesischen Städten (2005–2019): Verteilte Lag-Nichtlinear-Modelle quantifizierten Exposition-Lag-Response-Beziehungen; Machine-Learning und LSTM-Modelle integrierten Extremereignisse in Prognosen.</w:t>
      </w:r>
    </w:p>
    <w:p>
      <w:r>
        <w:rPr>
          <w:b/>
        </w:rPr>
        <w:t xml:space="preserve">Ergebnis: </w:t>
      </w:r>
      <w:r>
        <w:t>Meteorologische Variablen, Luftverschmutzung und Extremereignisse signifikant assoziiert mit Influenza-Risiko. Machine-Learning identifizierte atmosphärische Temperatur, Luftfeuchte und Feinstoffpartikel als Hauptfaktoren. Co-Exposition gegenüber Extremereignissen zeigte höheres gemeinsames Risiko als Einzelexposition (submultiplikative Interaktion, keine additive). LSTM-Modell mit Extremereignissen verbesserte Influenza-Prognosegenauigkeit signifikant. Heterogene geografische Effekte und Subtyp-Variationen beobachtet.</w:t>
      </w:r>
    </w:p>
    <w:p>
      <w:r>
        <w:rPr>
          <w:b/>
          <w:sz w:val="19"/>
        </w:rPr>
        <w:t xml:space="preserve">Übertragbarkeit: </w:t>
      </w:r>
      <w:r>
        <w:rPr>
          <w:sz w:val="19"/>
        </w:rPr>
        <w:t>China (Subtropen/gemäßigt) – Methodologie und Extreme-Event-Integration übertragbar, nicht absolute Schwellenwerte</w:t>
      </w:r>
    </w:p>
    <w:p>
      <w:r>
        <w:rPr>
          <w:color w:val="5A7D3A"/>
          <w:sz w:val="18"/>
        </w:rPr>
        <w:t>https://pubmed.ncbi.nlm.nih.gov/42916219/</w:t>
      </w:r>
    </w:p>
    <w:p>
      <w:pPr>
        <w:pStyle w:val="Heading2"/>
      </w:pPr>
      <w:r>
        <w:t>Waldbrandrauch und Sterblichkeit: Kohlenstoffkomponenten erhöhen Risiko pro Masseeinheit</w:t>
      </w:r>
    </w:p>
    <w:p>
      <w:r>
        <w:rPr>
          <w:i/>
          <w:color w:val="666666"/>
          <w:sz w:val="18"/>
        </w:rPr>
        <w:t>Jin Z et al.  ·  Environ Sci Technol  ·  13.10.2026  ·  PMID 42915998</w:t>
      </w:r>
    </w:p>
    <w:p>
      <w:r>
        <w:t>Kohortenstudie mit 77,47 Mio. Medicare-Versicherten (2002–2019): Langzeitexposition gegenüber Rauch-PM2.5 und dessen Kohlenstoffanteil wurde mit Gesamtsterblichkeit verknüpft mittels stratifizierter Cox-Modelle.</w:t>
      </w:r>
    </w:p>
    <w:p>
      <w:r>
        <w:rPr>
          <w:b/>
        </w:rPr>
        <w:t xml:space="preserve">Ergebnis: </w:t>
      </w:r>
      <w:r>
        <w:t>Pro 1 μg/m³ Rauch-PM2.5 Hazard Ratio 1,032 (95%-KI 1,027–1,037); für Rauch-Kohlenstoffkomponenten 1,087 (1,076–1,098). Zurechenbare jährliche Todesfälle 22.420, Kohlenstoffanteil trägt Mehrheit der Last. Stärkere Assoziationen bei Schwarzen und anderen Minderheiten sowie Medicaid-Versicherten. Rauch-PM2.5 zeigt pro Masseeinheit höhere Toxizität als Nicht-Rauch-PM2.5.</w:t>
      </w:r>
    </w:p>
    <w:p>
      <w:r>
        <w:rPr>
          <w:b/>
          <w:sz w:val="19"/>
        </w:rPr>
        <w:t xml:space="preserve">Übertragbarkeit: </w:t>
      </w:r>
      <w:r>
        <w:rPr>
          <w:sz w:val="19"/>
        </w:rPr>
        <w:t>USA, andere gemäßigte Breitengrade; Rauchbelastung in Deutschland bisher gering, aber Waldbrände häufiger</w:t>
      </w:r>
    </w:p>
    <w:p>
      <w:r>
        <w:rPr>
          <w:color w:val="5A7D3A"/>
          <w:sz w:val="18"/>
        </w:rPr>
        <w:t>https://pubmed.ncbi.nlm.nih.gov/42915998/</w:t>
      </w:r>
    </w:p>
    <w:p>
      <w:pPr>
        <w:pStyle w:val="Heading2"/>
      </w:pPr>
      <w:r>
        <w:t>Schulbelüftung nach COVID-19: Hürden und mangelnde Ausstattung in Südspanien</w:t>
      </w:r>
    </w:p>
    <w:p>
      <w:r>
        <w:rPr>
          <w:i/>
          <w:color w:val="666666"/>
          <w:sz w:val="18"/>
        </w:rPr>
        <w:t>Martínez JA et al.  ·  Rev Esp Salud Publica  ·  20.10.2026  ·  PMID 42904444</w:t>
      </w:r>
    </w:p>
    <w:p>
      <w:r>
        <w:t>Querschnittsstudie unter 91 Schulleitern in Murcia zur Compliance mit Lüftungsmaßnahmen: 77% der Schulen fehlten HVAC-Systeme oder CO₂-Sensoren; durchschnittliche Compliance-Werte 0,71 (2023/24) und 0,76 (2024/25).</w:t>
      </w:r>
    </w:p>
    <w:p>
      <w:r>
        <w:rPr>
          <w:b/>
        </w:rPr>
        <w:t xml:space="preserve">Ergebnis: </w:t>
      </w:r>
      <w:r>
        <w:t>77% der Schulen ohne technische Lüftungsausstattung; Compliance-Scores auf Skala [0,1]: durchschnittlich 0,71 im Schuljahr 2023/24 und 0,76 für 2024/25. Haupthürden: Wärmekomfort, Außenlärm, Lehrerkooperation; Bedarf für öffentliche Investitionen in Infrastruktur.</w:t>
      </w:r>
    </w:p>
    <w:p>
      <w:r>
        <w:rPr>
          <w:b/>
          <w:sz w:val="19"/>
        </w:rPr>
        <w:t xml:space="preserve">Übertragbarkeit: </w:t>
      </w:r>
      <w:r>
        <w:rPr>
          <w:sz w:val="19"/>
        </w:rPr>
        <w:t>Südeuropa, vergleichbares Schulsystem, Lüftungsinfrastruktur-Mangel ähnlich Deutschland</w:t>
      </w:r>
    </w:p>
    <w:p>
      <w:r>
        <w:rPr>
          <w:color w:val="5A7D3A"/>
          <w:sz w:val="18"/>
        </w:rPr>
        <w:t>https://pubmed.ncbi.nlm.nih.gov/42904444/</w:t>
      </w:r>
    </w:p>
    <w:p>
      <w:pPr>
        <w:pStyle w:val="Heading2"/>
      </w:pPr>
      <w:r>
        <w:t>Pneumokokken-Surveillance durch Innenraumluftkontrolle</w:t>
      </w:r>
    </w:p>
    <w:p>
      <w:r>
        <w:rPr>
          <w:i/>
          <w:color w:val="666666"/>
          <w:sz w:val="18"/>
        </w:rPr>
        <w:t>Tack B et al.  ·  Int J Infect Dis  ·  02.09.2026  ·  PMID 42685969</w:t>
      </w:r>
    </w:p>
    <w:p>
      <w:r>
        <w:t>Monatliche Luftproben aus einem belgischen Kinderbetreuungszentrum über 20 Monate (Januar 2022–September 2023) wurden auf Pneumokokken und Serotypen mittels qPCR analysiert.</w:t>
      </w:r>
    </w:p>
    <w:p>
      <w:r>
        <w:rPr>
          <w:b/>
        </w:rPr>
        <w:t xml:space="preserve">Ergebnis: </w:t>
      </w:r>
      <w:r>
        <w:t>Pneumokokken wurden in 100% der Luftproben nachgewiesen; durchschnittlich 7 Serotypen pro Probe identifiziert; 15 Serotypen insgesamt erfasst. Die erfassten Serotypen stimmten weitgehend mit belgischen Carrierstudien und invasiver Krankheitssurveillance überein. Luftproben-Surveillance könnte ein skalierbares, kostengünstiges Werkzeug für Vakzinationsüberwachung werden.</w:t>
      </w:r>
    </w:p>
    <w:p>
      <w:r>
        <w:rPr>
          <w:b/>
          <w:sz w:val="19"/>
        </w:rPr>
        <w:t xml:space="preserve">Übertragbarkeit: </w:t>
      </w:r>
      <w:r>
        <w:rPr>
          <w:sz w:val="19"/>
        </w:rPr>
        <w:t>Belgien, Mitteleuropa, vergleichbares Versorgungssystem und Klima</w:t>
      </w:r>
    </w:p>
    <w:p>
      <w:r>
        <w:rPr>
          <w:color w:val="5A7D3A"/>
          <w:sz w:val="18"/>
        </w:rPr>
        <w:t>https://pubmed.ncbi.nlm.nih.gov/42685969/</w:t>
      </w:r>
    </w:p>
    <w:p>
      <w:pPr>
        <w:pStyle w:val="Heading1"/>
      </w:pPr>
      <w:r>
        <w:t>Aufgenommen am 25.10.2026</w:t>
      </w:r>
    </w:p>
    <w:p>
      <w:pPr>
        <w:pStyle w:val="Heading2"/>
      </w:pPr>
      <w:r>
        <w:t>Hitze und Luftverschmutzung in Frühen 1000 Tagen: Assoziationen mit Autismus-Screening in Kleinkindern</w:t>
      </w:r>
    </w:p>
    <w:p>
      <w:r>
        <w:rPr>
          <w:i/>
          <w:color w:val="666666"/>
          <w:sz w:val="18"/>
        </w:rPr>
        <w:t>Barbalat G et al.  ·  Environ Sci Technol  ·  15.09.2026  ·  PMID 42915390</w:t>
      </w:r>
    </w:p>
    <w:p>
      <w:r>
        <w:t>Untersuchung der Assoziation zwischen pränataler und postnataler Exposition gegenüber Temperatur und Luftschadstoffen (PM2,5, PM10, NO2) mit Autismus-Screening-Scores in 12.139 französischen Zweijährigen aus der ELFE-Kohorte.</w:t>
      </w:r>
    </w:p>
    <w:p>
      <w:r>
        <w:rPr>
          <w:b/>
        </w:rPr>
        <w:t xml:space="preserve">Ergebnis: </w:t>
      </w:r>
      <w:r>
        <w:t>Nächtliche Hitzeexposition im dritten Trimenon war mit erhöhten Autism-Scores assoziiert, auch nach Adjustierung für Feinstaub. Postnatale Effekte waren geschlechtsspezifisch: Nächtliche Hitze und erhöhte PM2,5/PM10-Exposition (Monate 2–11,5) führten zu höheren Scores bei Jungen, aber nicht Mädchen. Hitze zeigte stärkere Assoziationen als Luftverschmutzung.</w:t>
      </w:r>
    </w:p>
    <w:p>
      <w:r>
        <w:rPr>
          <w:b/>
          <w:sz w:val="19"/>
        </w:rPr>
        <w:t xml:space="preserve">Übertragbarkeit: </w:t>
      </w:r>
      <w:r>
        <w:rPr>
          <w:sz w:val="19"/>
        </w:rPr>
        <w:t>Frankreich, mitteleuropäisches Klima und Versorgungssystem, direkt übertragbar</w:t>
      </w:r>
    </w:p>
    <w:p>
      <w:r>
        <w:rPr>
          <w:color w:val="5A7D3A"/>
          <w:sz w:val="18"/>
        </w:rPr>
        <w:t>https://pubmed.ncbi.nlm.nih.gov/42915390/</w:t>
      </w:r>
    </w:p>
    <w:p>
      <w:pPr>
        <w:pStyle w:val="Heading2"/>
      </w:pPr>
      <w:r>
        <w:t>Hitzedefinitionen in Temperatur-Mortalitäts-Studien: Harmonisierungsrahmen</w:t>
      </w:r>
    </w:p>
    <w:p>
      <w:r>
        <w:rPr>
          <w:i/>
          <w:color w:val="666666"/>
          <w:sz w:val="18"/>
        </w:rPr>
        <w:t>Tobías A et al.  ·  Curr Environ Health Rep  ·  23.10.2026  ·  PMID 42909738</w:t>
      </w:r>
    </w:p>
    <w:p>
      <w:r>
        <w:t>Systematische Übersichtsarbeit zu Definitionen von Hitzeexposition (Schwellwerte und Referenztemperaturen) in Zeit-Reihen- und Fall-Crossover-Studien zur Hitzesterblichkeit.</w:t>
      </w:r>
    </w:p>
    <w:p>
      <w:r>
        <w:rPr>
          <w:b/>
        </w:rPr>
        <w:t xml:space="preserve">Ergebnis: </w:t>
      </w:r>
      <w:r>
        <w:t>Große Variation in Hitzeschwellwerten und Referenztemperaturen zwischen Studien, was Vergleichbarkeit erschwert. Fallstudie Spanien: Minimum-Mortality-Temperaturen-Ansatz (MMT) erfasst Gesamthitzesterblichkeit und moderate/extreme Hitze; Perzentil-basierte Ansätze erfassen vermeidbare übermäßige Hitzesterblichkeit. Explizite Berichterstattung dieser Komponenten verbessert Interpretation für Public-Health-Maßnahmen.</w:t>
      </w:r>
    </w:p>
    <w:p>
      <w:r>
        <w:rPr>
          <w:b/>
          <w:sz w:val="19"/>
        </w:rPr>
        <w:t xml:space="preserve">Übertragbarkeit: </w:t>
      </w:r>
      <w:r>
        <w:rPr>
          <w:sz w:val="19"/>
        </w:rPr>
        <w:t>Südeuropa mit anwendbaren Methoden; Harmonisierung relevant für Deutschland</w:t>
      </w:r>
    </w:p>
    <w:p>
      <w:r>
        <w:rPr>
          <w:color w:val="5A7D3A"/>
          <w:sz w:val="18"/>
        </w:rPr>
        <w:t>https://pubmed.ncbi.nlm.nih.gov/42909738/</w:t>
      </w:r>
    </w:p>
    <w:p>
      <w:pPr>
        <w:pStyle w:val="Heading2"/>
      </w:pPr>
      <w:r>
        <w:t>Berufliche Hitzeexposition in Ländern mit niedrigem/mittlerem Einkommen: Forschungstrends</w:t>
      </w:r>
    </w:p>
    <w:p>
      <w:r>
        <w:rPr>
          <w:i/>
          <w:color w:val="666666"/>
          <w:sz w:val="18"/>
        </w:rPr>
        <w:t>Wiskel T et al.  ·  Curr Environ Health Rep  ·  21.10.2026  ·  PMID 42905195</w:t>
      </w:r>
    </w:p>
    <w:p>
      <w:r>
        <w:t>Systematisches Mapping-Review von 210 Publikationen zu Hitzeauswirkungen auf Beschäftigte in Ländern mit niedrigem und mittlerem Einkommen (LMIC), hauptsächlich Südasien, mit Identifikation von Forschungslücken und fehlenden Interventionen.</w:t>
      </w:r>
    </w:p>
    <w:p>
      <w:r>
        <w:rPr>
          <w:b/>
        </w:rPr>
        <w:t xml:space="preserve">Ergebnis: </w:t>
      </w:r>
      <w:r>
        <w:t>65% der Studien aus Länder mit niedrigem-mittlerem Einkommen, 40% aus Südasien, 30% aus Indien, 16% Iran, 9% China. 36% Manufacturing, 33% Landwirtschaft. WBGT-Werte durchschnittlich 17,1–38,5°C (Maximum 54,4°C). Hauptoutcomes: kardiovaskuläre Reaktionen (50%), Körpertemperatur (43%), Hitzeerscheinungen (35%). Nur 9% aller Berichte mit Interventionen zur Arbeiterschutz. Methodische Lücken: 39% ohne Frauen, nur 10% mit Migrantenstatus.</w:t>
      </w:r>
    </w:p>
    <w:p>
      <w:r>
        <w:rPr>
          <w:b/>
          <w:sz w:val="19"/>
        </w:rPr>
        <w:t xml:space="preserve">Übertragbarkeit: </w:t>
      </w:r>
      <w:r>
        <w:rPr>
          <w:sz w:val="19"/>
        </w:rPr>
        <w:t>Tropen/Subtropen - methodisch übertragbar; Temperaturanpassung nicht direkt auf Deutschland</w:t>
      </w:r>
    </w:p>
    <w:p>
      <w:r>
        <w:rPr>
          <w:color w:val="5A7D3A"/>
          <w:sz w:val="18"/>
        </w:rPr>
        <w:t>https://pubmed.ncbi.nlm.nih.gov/42905195/</w:t>
      </w:r>
    </w:p>
    <w:p>
      <w:pPr>
        <w:pStyle w:val="Heading2"/>
      </w:pPr>
      <w:r>
        <w:t>Arboviren in Europa: Klimawandel ermöglicht Mückenvektoren in gemäßigten Zonen</w:t>
      </w:r>
    </w:p>
    <w:p>
      <w:r>
        <w:rPr>
          <w:i/>
          <w:color w:val="666666"/>
          <w:sz w:val="18"/>
        </w:rPr>
        <w:t>Cancela Costa A et al.  ·  Rev Med Suisse  ·  07.10.2026  ·  PMID 42902967</w:t>
      </w:r>
    </w:p>
    <w:p>
      <w:r>
        <w:t>Klinisches Review zum Auftreten von Dengue, Chikungunya und West-Nil-Virus in Europa durch klimabedingte Etablierung von Aedes- und Culex-Mücken als Vektoren.</w:t>
      </w:r>
    </w:p>
    <w:p>
      <w:r>
        <w:rPr>
          <w:b/>
        </w:rPr>
        <w:t xml:space="preserve">Ergebnis: </w:t>
      </w:r>
      <w:r>
        <w:t>Erstmals lokale Transmission von Dengue, Chikungunya und West-Nil-Virus in Europa dokumentiert. Kliniker sollten diese Infektionen in der Differenzialdiagnose fieberhafter Erkrankungen berücksichtigen, auch ohne Reiseanamnese. Klimawandel, Bevölkerungsbewegungen und internationaler Handel fördern die Ausbreitung tropischer Arboviren in gemäßigte Regionen.</w:t>
      </w:r>
    </w:p>
    <w:p>
      <w:r>
        <w:rPr>
          <w:b/>
          <w:sz w:val="19"/>
        </w:rPr>
        <w:t xml:space="preserve">Übertragbarkeit: </w:t>
      </w:r>
      <w:r>
        <w:rPr>
          <w:sz w:val="19"/>
        </w:rPr>
        <w:t>Europa direkt betroffen, klimabedingte Vektorexpansion, hochrelevant für Deutschland</w:t>
      </w:r>
    </w:p>
    <w:p>
      <w:r>
        <w:rPr>
          <w:color w:val="5A7D3A"/>
          <w:sz w:val="18"/>
        </w:rPr>
        <w:t>https://pubmed.ncbi.nlm.nih.gov/42902967/</w:t>
      </w:r>
    </w:p>
    <w:p>
      <w:pPr>
        <w:pStyle w:val="Heading2"/>
      </w:pPr>
      <w:r>
        <w:t>Luftverschmutzung und Temperatur: Gemeinsame Effekte auf Blutzucker in europäischen Kohorten</w:t>
      </w:r>
    </w:p>
    <w:p>
      <w:r>
        <w:rPr>
          <w:i/>
          <w:color w:val="666666"/>
          <w:sz w:val="18"/>
        </w:rPr>
        <w:t>Jeong A et al.  ·  Environ Int  ·  23.09.2026  ·  PMID 42784881</w:t>
      </w:r>
    </w:p>
    <w:p>
      <w:r>
        <w:t>Analyse der gemeinsamen Effekte von Luftverschmutzung (PM10) und Temperatur auf Nüchternblutzucker (HbA1c) in 33.989 Messungen von 21.259 Teilnehmern aus neun europäischen Kohorten.</w:t>
      </w:r>
    </w:p>
    <w:p>
      <w:r>
        <w:rPr>
          <w:b/>
        </w:rPr>
        <w:t xml:space="preserve">Ergebnis: </w:t>
      </w:r>
      <w:r>
        <w:t>Elastic-Net-Regression identifizierte PM10 und Temperaturvariabilität als stabile Prädiktoren für erhöhte HbA1c. Ein Szenario mit verbesserter Luftqualität führte zu gesunkenen HbA1c-Werten; klimabedingte Temperaturerhöhung führte zu erhöhten HbA1c-Werten. Die positiven Effekte von Luftqualitätsverbesserungen gewinnen unter Klimawandelbedingungen an Bedeutung, besonders bei Nichtrauchern.</w:t>
      </w:r>
    </w:p>
    <w:p>
      <w:r>
        <w:rPr>
          <w:b/>
          <w:sz w:val="19"/>
        </w:rPr>
        <w:t xml:space="preserve">Übertragbarkeit: </w:t>
      </w:r>
      <w:r>
        <w:rPr>
          <w:sz w:val="19"/>
        </w:rPr>
        <w:t>Europäische Kohorten mit Luftdaten, gemäßigte Klimazonen, direkt übertragbar</w:t>
      </w:r>
    </w:p>
    <w:p>
      <w:r>
        <w:rPr>
          <w:color w:val="5A7D3A"/>
          <w:sz w:val="18"/>
        </w:rPr>
        <w:t>https://pubmed.ncbi.nlm.nih.gov/42784881/</w:t>
      </w:r>
    </w:p>
    <w:p>
      <w:pPr>
        <w:pStyle w:val="Heading2"/>
      </w:pPr>
      <w:r>
        <w:t>Heiße Getränke und Speiseröhrenkrebs: Prospektive Studie in UK-Erwachsenen</w:t>
      </w:r>
    </w:p>
    <w:p>
      <w:r>
        <w:rPr>
          <w:i/>
          <w:color w:val="666666"/>
          <w:sz w:val="18"/>
        </w:rPr>
        <w:t>Papier K et al.  ·  Int J Cancer  ·  15.12.2026  ·  PMID 42710538</w:t>
      </w:r>
    </w:p>
    <w:p>
      <w:r>
        <w:t>Prospektive Analyse von 977.282 UK-Teilnehmern zur Assoziation zwischen Trinktemperatur und Häufigkeit heißer Getränke mit Speiseröhrenkrebsrisiko über durchschnittlich 11–14 Jahre Follow-up.</w:t>
      </w:r>
    </w:p>
    <w:p>
      <w:r>
        <w:rPr>
          <w:b/>
        </w:rPr>
        <w:t xml:space="preserve">Ergebnis: </w:t>
      </w:r>
      <w:r>
        <w:t>2.348 Speiseröhrenkrebsfälle (1.045 Plattenepithel-Ca., 1.303 Adenokarzinom). "Sehr heiße" vs. "warme" Getränke: 3-fach erhöhtes Plattenepithel-Ca.-Risiko (RR=3,17; 95%-KI: 2,49–4,03), kein Effekt auf Adenokarzinom. Täglich ≥6 vs. &lt;6 heiße Getränke: 71% erhöhtes Plattenepithel-Ca.-Risiko (RR=1,71; 1,51–1,94). Geschätzt 14% der Plattenepithel-Karzinome wären vermeidbar durch Temperaturreduktion.</w:t>
      </w:r>
    </w:p>
    <w:p>
      <w:r>
        <w:rPr>
          <w:b/>
          <w:sz w:val="19"/>
        </w:rPr>
        <w:t xml:space="preserve">Übertragbarkeit: </w:t>
      </w:r>
      <w:r>
        <w:rPr>
          <w:sz w:val="19"/>
        </w:rPr>
        <w:t>Großbritannien, Bevölkerung vergleichbar, gemäßigte Klimazone</w:t>
      </w:r>
    </w:p>
    <w:p>
      <w:r>
        <w:rPr>
          <w:color w:val="5A7D3A"/>
          <w:sz w:val="18"/>
        </w:rPr>
        <w:t>https://pubmed.ncbi.nlm.nih.gov/42710538/</w:t>
      </w:r>
    </w:p>
    <w:p>
      <w:pPr>
        <w:pStyle w:val="Heading1"/>
      </w:pPr>
      <w:r>
        <w:t>Aufgenommen am 24.10.2026</w:t>
      </w:r>
    </w:p>
    <w:p>
      <w:pPr>
        <w:pStyle w:val="Heading2"/>
      </w:pPr>
      <w:r>
        <w:t>Waldbrände, Nahrungsunsicherheit und sexuelle Gesundheit von Jugendlichen in der kanadischen Arktis</w:t>
      </w:r>
    </w:p>
    <w:p>
      <w:r>
        <w:rPr>
          <w:i/>
          <w:color w:val="666666"/>
          <w:sz w:val="18"/>
        </w:rPr>
        <w:t>Logie CH et al.  ·  J Int Assoc Provid AIDS Care  ·  22.10.2026  ·  PMID 42912890</w:t>
      </w:r>
    </w:p>
    <w:p>
      <w:r>
        <w:t>Strukturgleichungsmodell-Analyse bei 290 Jugendlichen (13–18 Jahre) in 12 Gemeinden der Nordwest-Territorien zur indirekten Assoziation zwischen Waldbrand-Traumaexposition, Nahrungsunsicherheit, Selbstwertgefühl und Kondomgebrauchssicherheit.</w:t>
      </w:r>
    </w:p>
    <w:p>
      <w:r>
        <w:rPr>
          <w:b/>
        </w:rPr>
        <w:t xml:space="preserve">Ergebnis: </w:t>
      </w:r>
      <w:r>
        <w:t>Höhere Waldbrand-Traumaexposition war mit erhöhter Nahrungsunsicherheit und niedrigerem Selbstwertgefühl assoziiert. Waldbrand-Exposition und Nahrungsunsicherheit waren indirekt (über Selbstwertgefühl) mit niedrigerer Kondomgebrauchssicherheit assoziiert. Direkter Effekt nicht signifikant.</w:t>
      </w:r>
    </w:p>
    <w:p>
      <w:r>
        <w:rPr>
          <w:b/>
          <w:sz w:val="19"/>
        </w:rPr>
        <w:t xml:space="preserve">Übertragbarkeit: </w:t>
      </w:r>
      <w:r>
        <w:rPr>
          <w:sz w:val="19"/>
        </w:rPr>
        <w:t>Kanada, gemäßigte/arktische Klimazone; Methode der Intersektionalität und sozialen Determinanten übertragbar</w:t>
      </w:r>
    </w:p>
    <w:p>
      <w:r>
        <w:rPr>
          <w:color w:val="5A7D3A"/>
          <w:sz w:val="18"/>
        </w:rPr>
        <w:t>https://pubmed.ncbi.nlm.nih.gov/42912890/</w:t>
      </w:r>
    </w:p>
    <w:p>
      <w:pPr>
        <w:pStyle w:val="Heading2"/>
      </w:pPr>
      <w:r>
        <w:t>Wissenslücken zu Hitzeerkrankungen bei Schülern trotz hoher Awareness</w:t>
      </w:r>
    </w:p>
    <w:p>
      <w:r>
        <w:rPr>
          <w:i/>
          <w:color w:val="666666"/>
          <w:sz w:val="18"/>
        </w:rPr>
        <w:t>Matsuo H et al.  ·  Int J Biometeorol  ·  22.10.2026  ·  PMID 42911282</w:t>
      </w:r>
    </w:p>
    <w:p>
      <w:r>
        <w:t>Querschnittbefragung von 1.179 japanischen Schülern (7.–10. Klasse) zur Erkennung von Hitzekrankheitstypen und Symptomen trotz bekannten Terminus.</w:t>
      </w:r>
    </w:p>
    <w:p>
      <w:r>
        <w:rPr>
          <w:b/>
        </w:rPr>
        <w:t xml:space="preserve">Ergebnis: </w:t>
      </w:r>
      <w:r>
        <w:t>Nahezu alle Schüler kannten den Begriff „exertional heat illness</w:t>
      </w:r>
    </w:p>
    <w:p>
      <w:r>
        <w:rPr>
          <w:b/>
          <w:sz w:val="19"/>
        </w:rPr>
        <w:t xml:space="preserve">Übertragbarkeit: </w:t>
      </w:r>
      <w:r>
        <w:rPr>
          <w:sz w:val="19"/>
        </w:rPr>
        <w:t>Ergebnis besagt aber dass nur 1,9% der Mittelschüler (3,1% Gymnasiasten) Hitzesynkope korrekt den Symptomen zuordneten; bei Hitzeerschöpfung 4,1% (7,9%); bei Hitzschlag 0,4% (0,5%). Klare Diskrepanz zwischen wahrgenommenem und tatsächlichem Wissen.Vulnerabilitätsgruppen und Prävention, schulische Gesundheitskommunikation relevant für Deutschland</w:t>
      </w:r>
    </w:p>
    <w:p>
      <w:r>
        <w:rPr>
          <w:color w:val="5A7D3A"/>
          <w:sz w:val="18"/>
        </w:rPr>
        <w:t>https://pubmed.ncbi.nlm.nih.gov/42911282/</w:t>
      </w:r>
    </w:p>
    <w:p>
      <w:pPr>
        <w:pStyle w:val="Heading2"/>
      </w:pPr>
      <w:r>
        <w:t>Extreme Hitze und Demenzrisiko: Soziale Ungleichheit verstärkt Effekt</w:t>
      </w:r>
    </w:p>
    <w:p>
      <w:r>
        <w:rPr>
          <w:i/>
          <w:color w:val="666666"/>
          <w:sz w:val="18"/>
        </w:rPr>
        <w:t>Choi EY et al.  ·  Alzheimers Dement  ·  Okt. 2026  ·  PMID 42910638</w:t>
      </w:r>
    </w:p>
    <w:p>
      <w:r>
        <w:t>20-jähriges Kohorten-Follow-up mit 28.512 älteren US-Amerikanern zur Assoziation zwischen Außentemperatur und Demenzinzidenz, stratifiziert nach sozioökonomischem Status.</w:t>
      </w:r>
    </w:p>
    <w:p>
      <w:r>
        <w:rPr>
          <w:b/>
        </w:rPr>
        <w:t xml:space="preserve">Ergebnis: </w:t>
      </w:r>
      <w:r>
        <w:t>Personen mit hoher Belastung durch Extremhitze (≥7,2 Tage/Jahr ≥39,4°C) hatten 23% erhöhtes Demenzrisiko (95% KI: 1,08–1,40) versus niedriger Belastung. In sozioökonomisch benachteiligten Gegenden und Gebieten mit niedriger Klimaanlageausstattung waren Assoziationen deutlich stärker.</w:t>
      </w:r>
    </w:p>
    <w:p>
      <w:r>
        <w:rPr>
          <w:b/>
          <w:sz w:val="19"/>
        </w:rPr>
        <w:t xml:space="preserve">Übertragbarkeit: </w:t>
      </w:r>
      <w:r>
        <w:rPr>
          <w:sz w:val="19"/>
        </w:rPr>
        <w:t>Methodisch übertragbar; Schwellwerte für US-Südwest-Klima nicht direkt, aber Prinzip der Vulnerabilität relevant</w:t>
      </w:r>
    </w:p>
    <w:p>
      <w:r>
        <w:rPr>
          <w:color w:val="5A7D3A"/>
          <w:sz w:val="18"/>
        </w:rPr>
        <w:t>https://pubmed.ncbi.nlm.nih.gov/42910638/</w:t>
      </w:r>
    </w:p>
    <w:p>
      <w:pPr>
        <w:pStyle w:val="Heading2"/>
      </w:pPr>
      <w:r>
        <w:t>Nächtliche Hitze erhöht Notfallhospitalisierungen bei Herzstillstand</w:t>
      </w:r>
    </w:p>
    <w:p>
      <w:r>
        <w:rPr>
          <w:i/>
          <w:color w:val="666666"/>
          <w:sz w:val="18"/>
        </w:rPr>
        <w:t>Nishimura H et al.  ·  Int J Biometeorol  ·  23.10.2026  ·  PMID 42909662</w:t>
      </w:r>
    </w:p>
    <w:p>
      <w:r>
        <w:t>Japanische Fall-Kontroll-Studie mit 135.898 Hospitalisierungen für außerklinischen Herzstillstand (2011–2021) zur Assoziation mit nächtlicher Hitzeexposition (&gt;92,5. Perzentil der Mindesttemperatur).</w:t>
      </w:r>
    </w:p>
    <w:p>
      <w:r>
        <w:rPr>
          <w:b/>
        </w:rPr>
        <w:t xml:space="preserve">Ergebnis: </w:t>
      </w:r>
      <w:r>
        <w:t>Nächtliche Hitzeexposition war mit erhöhten Notfallhospitalisierungen assoziiert (RR: 1,090, 95% KI: 1,047–1,135). Höhere Risiken bei Personen ≥75 Jahren und Frauen in nördlichen Regionen (RR: 1,295 und 1,352). Niedrigere Klimaanlageausstattung verstärkte das Risiko bei Frauen und älteren Personen.</w:t>
      </w:r>
    </w:p>
    <w:p>
      <w:r>
        <w:rPr>
          <w:b/>
          <w:sz w:val="19"/>
        </w:rPr>
        <w:t xml:space="preserve">Übertragbarkeit: </w:t>
      </w:r>
      <w:r>
        <w:rPr>
          <w:sz w:val="19"/>
        </w:rPr>
        <w:t>Gemäßigte Klimazone, relevante Risikogruppen; nächtliche Hitze zunehmend auch in Mitteleuropa</w:t>
      </w:r>
    </w:p>
    <w:p>
      <w:r>
        <w:rPr>
          <w:color w:val="5A7D3A"/>
          <w:sz w:val="18"/>
        </w:rPr>
        <w:t>https://pubmed.ncbi.nlm.nih.gov/42909662/</w:t>
      </w:r>
    </w:p>
    <w:p>
      <w:pPr>
        <w:pStyle w:val="Heading2"/>
      </w:pPr>
      <w:r>
        <w:t>Umweltfaktoren und psychische Gesundheit in Deutschland</w:t>
      </w:r>
    </w:p>
    <w:p>
      <w:r>
        <w:rPr>
          <w:i/>
          <w:color w:val="666666"/>
          <w:sz w:val="18"/>
        </w:rPr>
        <w:t>Wang Y et al.  ·  Environ Int  ·  27.09.2026  ·  PMID 42810139</w:t>
      </w:r>
    </w:p>
    <w:p>
      <w:r>
        <w:t>Langzeitstudie an über 70.000 deutschen Erwachsenen, die Zusammenhänge zwischen Luftverschmutzung, Temperatur, Grünflächen und depressiven sowie Angststörungen untersuchte.</w:t>
      </w:r>
    </w:p>
    <w:p>
      <w:r>
        <w:rPr>
          <w:b/>
        </w:rPr>
        <w:t xml:space="preserve">Ergebnis: </w:t>
      </w:r>
      <w:r>
        <w:t>Höhere Lufttemperatur pro Interquartilsabstand war mit erhöhten depressiven Symptomscores assoziiert (β = 0,07, 95% KI: 0,03–0,12), ebenso NO₂-Exposition (β = 0,08, 95% KI: 0,03–0,14). Höhere Grünflächenanteil und Niederschlag waren mit niedrigeren depressiven Symptomen assoziiert. Stärkere Assoziationen bei Frauen, jüngeren Erwachsenen, Menschen mit Adipositas und in urbanen Gebieten.</w:t>
      </w:r>
    </w:p>
    <w:p>
      <w:r>
        <w:rPr>
          <w:b/>
          <w:sz w:val="19"/>
        </w:rPr>
        <w:t xml:space="preserve">Übertragbarkeit: </w:t>
      </w:r>
      <w:r>
        <w:rPr>
          <w:sz w:val="19"/>
        </w:rPr>
        <w:t>Deutsche Sterbedaten und Versorgungsstruktur, gemäßigte Klimazone, großer Stichprobenumfang</w:t>
      </w:r>
    </w:p>
    <w:p>
      <w:r>
        <w:rPr>
          <w:color w:val="5A7D3A"/>
          <w:sz w:val="18"/>
        </w:rPr>
        <w:t>https://pubmed.ncbi.nlm.nih.gov/42810139/</w:t>
      </w:r>
    </w:p>
    <w:p>
      <w:pPr>
        <w:pStyle w:val="Heading1"/>
      </w:pPr>
      <w:r>
        <w:t>Aufgenommen am 23.10.2026</w:t>
      </w:r>
    </w:p>
    <w:p>
      <w:pPr>
        <w:pStyle w:val="Heading2"/>
      </w:pPr>
      <w:r>
        <w:t>PM₂,₅-Exposition erhöht Sterblichkeit bei älteren Menschen in Beijing</w:t>
      </w:r>
    </w:p>
    <w:p>
      <w:r>
        <w:rPr>
          <w:i/>
          <w:color w:val="666666"/>
          <w:sz w:val="18"/>
        </w:rPr>
        <w:t>Wan YH et al.  ·  Zhonghua Liu Xing Bing Xue Za Zhi  ·  10.10.2026  ·  PMID 42907183</w:t>
      </w:r>
    </w:p>
    <w:p>
      <w:r>
        <w:t>Kohortenstudie mit 3.472 älteren Stadtbewohnern in Beijing analysierte Assoziationen zwischen Feinstaubexposition (2010–2014) und all-cause sowie kardiovaskulärer Mortalität mit Analyse von Interaktionen mit körperlicher Aktivität.</w:t>
      </w:r>
    </w:p>
    <w:p>
      <w:r>
        <w:rPr>
          <w:b/>
        </w:rPr>
        <w:t xml:space="preserve">Ergebnis: </w:t>
      </w:r>
      <w:r>
        <w:t>Jede 1 μg/m³ PM₂,₅-Steigerung erhöhte All-cause-Mortalitätsrisiko um 5,3 % (HR=1,053; 95%-KI: 1,026–1,080) und kardiovaskuläres Risiko um 4,6 % (HR=1,046; 95%-KI: 1,001–1,100). Ohne Außenaktivität: 8,7 % Risikoerhöhung; mit regelmäßiger Aktivität: nur 2,6 % Erhöhung. Mittlere PM₂,₅-Konzentration war 79,80 μg/m³ (WHO-Grenzwert: 35 μg/m³).</w:t>
      </w:r>
    </w:p>
    <w:p>
      <w:r>
        <w:rPr>
          <w:b/>
          <w:sz w:val="19"/>
        </w:rPr>
        <w:t xml:space="preserve">Übertragbarkeit: </w:t>
      </w:r>
      <w:r>
        <w:rPr>
          <w:sz w:val="19"/>
        </w:rPr>
        <w:t>China, gemäßigte Zone; Dosis-Wirkungs-Beziehung erkennbar, absolute Schwellenwerte nicht auf Deutschland übertragbar</w:t>
      </w:r>
    </w:p>
    <w:p>
      <w:r>
        <w:rPr>
          <w:color w:val="5A7D3A"/>
          <w:sz w:val="18"/>
        </w:rPr>
        <w:t>https://pubmed.ncbi.nlm.nih.gov/42907183/</w:t>
      </w:r>
    </w:p>
    <w:p>
      <w:pPr>
        <w:pStyle w:val="Heading2"/>
      </w:pPr>
      <w:r>
        <w:t>Klimastress und Infektionen gefährden Arbeiter in Niedriglohnländern</w:t>
      </w:r>
    </w:p>
    <w:p>
      <w:r>
        <w:rPr>
          <w:i/>
          <w:color w:val="666666"/>
          <w:sz w:val="18"/>
        </w:rPr>
        <w:t>Odud MA et al.  ·  PLoS One  ·  21.10.2026  ·  PMID 42905761</w:t>
      </w:r>
    </w:p>
    <w:p>
      <w:r>
        <w:t>Scoping Review (PRISMA-ScR; 10 von 612 geprüften Quellen) untersuchte Konvergenz von klimabezogenen und infektionsbezogenen Stressoren und deren Auswirkungen auf Arbeiter in Hochrisikoberufen (2020–2025).</w:t>
      </w:r>
    </w:p>
    <w:p>
      <w:r>
        <w:rPr>
          <w:b/>
        </w:rPr>
        <w:t xml:space="preserve">Ergebnis: </w:t>
      </w:r>
      <w:r>
        <w:t>Klima- und Infektionsstressoren verstärken sich gegenseitig und erhöhen physische, umweltbezogene und psychosoziale Belastungen. Besonders gefährdet: Migrantenarbeiter, informal Beschäftigte, Niedrigeinkommensgruppen, Ältere, Frauen und Saisonarbeiter. Nur 9 % der Studien beinhalteten Schutzmaßnahmen; fragmentierte Politikansätze.</w:t>
      </w:r>
    </w:p>
    <w:p>
      <w:r>
        <w:rPr>
          <w:b/>
          <w:sz w:val="19"/>
        </w:rPr>
        <w:t xml:space="preserve">Übertragbarkeit: </w:t>
      </w:r>
      <w:r>
        <w:rPr>
          <w:sz w:val="19"/>
        </w:rPr>
        <w:t>Globale Perspektive; Vulnerabilitätsmuster und integrierte Ansätze methodisch übertragbar auf Deutschland</w:t>
      </w:r>
    </w:p>
    <w:p>
      <w:r>
        <w:rPr>
          <w:color w:val="5A7D3A"/>
          <w:sz w:val="18"/>
        </w:rPr>
        <w:t>https://pubmed.ncbi.nlm.nih.gov/42905761/</w:t>
      </w:r>
    </w:p>
    <w:p>
      <w:pPr>
        <w:pStyle w:val="Heading2"/>
      </w:pPr>
      <w:r>
        <w:t>Innenraumhitze erhöht Mortalitätsrisiko stärker als Außentemperatur</w:t>
      </w:r>
    </w:p>
    <w:p>
      <w:r>
        <w:rPr>
          <w:i/>
          <w:color w:val="666666"/>
          <w:sz w:val="18"/>
        </w:rPr>
        <w:t>Ibbetson A et al.  ·  Risk Anal  ·  Nov. 2026  ·  PMID 42904486</w:t>
      </w:r>
    </w:p>
    <w:p>
      <w:r>
        <w:t>Mathematische Modellierungsstudie entwickelt neuartigen Ansatz zur Abbildung von Innenraumhitze-Mortalitäts-Beziehungen auf Basis epidemiologischer Außentemperatur-Daten unter Berücksichtigung der Gebäudedämmung.</w:t>
      </w:r>
    </w:p>
    <w:p>
      <w:r>
        <w:rPr>
          <w:b/>
        </w:rPr>
        <w:t xml:space="preserve">Ergebnis: </w:t>
      </w:r>
      <w:r>
        <w:t>Modell zeigt, dass Änderungen der Innenraumtemperatur stärkere Mortalitätsveränderungen bewirken als gleiche Außentemperaturänderungen. Dies liegt an der modifizierenden Wirkung von Gebäuden auf die Temperaturexposition und hat Implikationen für die Bewertung von Gesundheitseffekten bei Innenraum-Hitzeexposition.</w:t>
      </w:r>
    </w:p>
    <w:p>
      <w:r>
        <w:rPr>
          <w:b/>
          <w:sz w:val="19"/>
        </w:rPr>
        <w:t xml:space="preserve">Übertragbarkeit: </w:t>
      </w:r>
      <w:r>
        <w:rPr>
          <w:sz w:val="19"/>
        </w:rPr>
        <w:t>Großbritannien; theoretischer Rahmen universal, gebäudespezifische Parameter müssen für Deutschland angepasst werden</w:t>
      </w:r>
    </w:p>
    <w:p>
      <w:r>
        <w:rPr>
          <w:color w:val="5A7D3A"/>
          <w:sz w:val="18"/>
        </w:rPr>
        <w:t>https://pubmed.ncbi.nlm.nih.gov/42904486/</w:t>
      </w:r>
    </w:p>
    <w:p>
      <w:pPr>
        <w:pStyle w:val="Heading2"/>
      </w:pPr>
      <w:r>
        <w:t>Extremtemperaturen erhöhen Arbeitsunfälle in lateinamerikanischer Metropole</w:t>
      </w:r>
    </w:p>
    <w:p>
      <w:r>
        <w:rPr>
          <w:i/>
          <w:color w:val="666666"/>
          <w:sz w:val="18"/>
        </w:rPr>
        <w:t>Vilasau R et al.  ·  Environ Res  ·  15.11.2026  ·  PMID 42838200</w:t>
      </w:r>
    </w:p>
    <w:p>
      <w:r>
        <w:t>Fallüberkreuzungs-Studie mit 603.676 Arbeitsunfällen in Santiago untersuchte Hitzewellen- und Kälteeffekte auf Verletzungsrisiken in verschiedenen Wirtschaftssektoren (2012–2019).</w:t>
      </w:r>
    </w:p>
    <w:p>
      <w:r>
        <w:rPr>
          <w:b/>
        </w:rPr>
        <w:t xml:space="preserve">Ergebnis: </w:t>
      </w:r>
      <w:r>
        <w:t>Extreme Hitze erhöhte das Verletzungsrisiko im Hotel-Sektor (RR=1,36; 95%-KI: 1,09–1,70) und Verkehr (RR=1,25; 95%-KI: 1,02–1,53). Extreme Kälte erhöhte Risiko in Industrie (RR=1,18; 95%-KI: 1,06–1,32) und Bau (RR=1,12; 95%-KI: 1,02–1,24). Insgesamt 5.542 Verletzungen waren auf nicht-optimale Temperaturen zurückzuführen.</w:t>
      </w:r>
    </w:p>
    <w:p>
      <w:r>
        <w:rPr>
          <w:b/>
          <w:sz w:val="19"/>
        </w:rPr>
        <w:t xml:space="preserve">Übertragbarkeit: </w:t>
      </w:r>
      <w:r>
        <w:rPr>
          <w:sz w:val="19"/>
        </w:rPr>
        <w:t>Südamerika, temperate Zone; Methodik und Sektor-Differenzierung übertragbar, absolute Schwellenwerte nicht</w:t>
      </w:r>
    </w:p>
    <w:p>
      <w:r>
        <w:rPr>
          <w:color w:val="5A7D3A"/>
          <w:sz w:val="18"/>
        </w:rPr>
        <w:t>https://pubmed.ncbi.nlm.nih.gov/42838200/</w:t>
      </w:r>
    </w:p>
    <w:p>
      <w:pPr>
        <w:pStyle w:val="Heading2"/>
      </w:pPr>
      <w:r>
        <w:t>Wüstenstaub und Hitze verschlechtern Lungenfunktion bei Kindern mit Asthma</w:t>
      </w:r>
    </w:p>
    <w:p>
      <w:r>
        <w:rPr>
          <w:i/>
          <w:color w:val="666666"/>
          <w:sz w:val="18"/>
        </w:rPr>
        <w:t>Qian Y et al.  ·  Environ Res  ·  15.11.2026  ·  PMID 42838195</w:t>
      </w:r>
    </w:p>
    <w:p>
      <w:r>
        <w:t>Sekundäranalyse untersuchte Assoziationen zwischen Wüstenstaubexposition, Temperatur und Lungenfunktion bei 135 asthmatischen Kindern in Zypern und Kreta während der Staubsaison 2019 und 2021.</w:t>
      </w:r>
    </w:p>
    <w:p>
      <w:r>
        <w:rPr>
          <w:b/>
        </w:rPr>
        <w:t xml:space="preserve">Ergebnis: </w:t>
      </w:r>
      <w:r>
        <w:t>Kumulativer Wüstenstaub war mit -3,52 mL (95%-KI: -5,90, -1,14) FEV₁-Abnahme pro Staubtag verbunden. Temperaturanstieg um 5 °C war mit -19,77 mL FEV₁-Abnahme (95%-KI: -37,91, -1,63) und -0,81 % FEV₁/FVC-Reduktion (95%-KI: -1,36, -0,25) assoziiert. Sowohl Staubexposition als auch Hitze zeigten inverse Assoziationen mit Lungenfunktionsparametern.</w:t>
      </w:r>
    </w:p>
    <w:p>
      <w:r>
        <w:rPr>
          <w:b/>
          <w:sz w:val="19"/>
        </w:rPr>
        <w:t xml:space="preserve">Übertragbarkeit: </w:t>
      </w:r>
      <w:r>
        <w:rPr>
          <w:sz w:val="19"/>
        </w:rPr>
        <w:t>Südeuropa; Klimazone und Expositionspathways relevant für Mittelmeerregion, Übertragung auf Deutschland begrenzt</w:t>
      </w:r>
    </w:p>
    <w:p>
      <w:r>
        <w:rPr>
          <w:color w:val="5A7D3A"/>
          <w:sz w:val="18"/>
        </w:rPr>
        <w:t>https://pubmed.ncbi.nlm.nih.gov/42838195/</w:t>
      </w:r>
    </w:p>
    <w:p>
      <w:pPr>
        <w:pStyle w:val="Heading1"/>
      </w:pPr>
      <w:r>
        <w:t>Aufgenommen am 22.10.2026</w:t>
      </w:r>
    </w:p>
    <w:p>
      <w:pPr>
        <w:pStyle w:val="Heading2"/>
      </w:pPr>
      <w:r>
        <w:t>Extremtemperaturen und Barrierefunktion: Mechanismen der Krankheitsentstehung</w:t>
      </w:r>
    </w:p>
    <w:p>
      <w:r>
        <w:rPr>
          <w:i/>
          <w:color w:val="666666"/>
          <w:sz w:val="18"/>
        </w:rPr>
        <w:t>Ogulur I et al.  ·  Semin Immunopathol  ·  20.10.2026  ·  PMID 42902042</w:t>
      </w:r>
    </w:p>
    <w:p>
      <w:r>
        <w:t>Narrative Übersichtsarbeit über die Mechanismen, durch die Hitze und Kälte die Epithelbarriere schädigen und über veränderte Barrierefunktion zu nichtübertragbaren Erkrankungen führen.</w:t>
      </w:r>
    </w:p>
    <w:p>
      <w:r>
        <w:rPr>
          <w:b/>
        </w:rPr>
        <w:t xml:space="preserve">Ergebnis: </w:t>
      </w:r>
      <w:r>
        <w:t>Extreme Temperaturen beeinträchtigen die Tight-Junction-Regulation, verursachen oxidativen Stress, Apoptose und Entzündung sowie Mikrobiom-Dysbiose – Effekte, die durch Luftverschmutzung, UV-Strahlung und Waldbrände verstärkt werden. Epidemiologische Evidenz zeigt Assoziationen zwischen Hitzewellen und Krankheitsexazerbationen sowie zwischen Kälteexposition und Infektions- oder Allergiereaktionen.</w:t>
      </w:r>
    </w:p>
    <w:p>
      <w:r>
        <w:rPr>
          <w:b/>
          <w:sz w:val="19"/>
        </w:rPr>
        <w:t xml:space="preserve">Übertragbarkeit: </w:t>
      </w:r>
      <w:r>
        <w:rPr>
          <w:sz w:val="19"/>
        </w:rPr>
        <w:t>Systematische Pathophysiologie, Klimazone-unabhängig; Grundlage für Verständnis europäischer Hitzefolgen</w:t>
      </w:r>
    </w:p>
    <w:p>
      <w:r>
        <w:rPr>
          <w:color w:val="5A7D3A"/>
          <w:sz w:val="18"/>
        </w:rPr>
        <w:t>https://pubmed.ncbi.nlm.nih.gov/42902042/</w:t>
      </w:r>
    </w:p>
    <w:p>
      <w:pPr>
        <w:pStyle w:val="Heading2"/>
      </w:pPr>
      <w:r>
        <w:t>Neuausrichtung der Public Health angesichts von Klimawandel und Urbanisierung</w:t>
      </w:r>
    </w:p>
    <w:p>
      <w:r>
        <w:rPr>
          <w:i/>
          <w:color w:val="666666"/>
          <w:sz w:val="18"/>
        </w:rPr>
        <w:t>Galea S  ·  Lancet Public Health  ·  Nov. 2026  ·  PMID 42901192</w:t>
      </w:r>
    </w:p>
    <w:p>
      <w:r>
        <w:t>Essay des renommierten Public-Health-Experten über fünf Megatrends – Bevölkerungsalterung, Urbanisierung, Klimawandel, verändernde Institutionenvertrauen, transformative Technologien – und fünf daraus folgende strategische Aspirationen für die Gesundheitspolitik.</w:t>
      </w:r>
    </w:p>
    <w:p>
      <w:r>
        <w:rPr>
          <w:b/>
        </w:rPr>
        <w:t xml:space="preserve">Ergebnis: </w:t>
      </w:r>
      <w:r>
        <w:t>Zentrale Befunde: Klimawandel ist neben Bevölkerungsalterung und Urbanisierung einer der drei Haupttreiber für den Wandel der Krankheitslast (Zunahme nichtübertragbarer Erkrankungen, neurologische Erkrankungen, instabilere Infektionskrankheiten). Public Health muss sich auf Prävention nichtübertragbarer Krankheiten, Gesundheitsgerechtigkeit und Krisenresilienz konzentrieren.</w:t>
      </w:r>
    </w:p>
    <w:p>
      <w:r>
        <w:rPr>
          <w:b/>
          <w:sz w:val="19"/>
        </w:rPr>
        <w:t xml:space="preserve">Übertragbarkeit: </w:t>
      </w:r>
      <w:r>
        <w:rPr>
          <w:sz w:val="19"/>
        </w:rPr>
        <w:t>Globale Public-Health-Strategie; Rahmensetzung für deutsche Gesundheitspolitik</w:t>
      </w:r>
    </w:p>
    <w:p>
      <w:r>
        <w:rPr>
          <w:color w:val="5A7D3A"/>
          <w:sz w:val="18"/>
        </w:rPr>
        <w:t>https://pubmed.ncbi.nlm.nih.gov/42901192/</w:t>
      </w:r>
    </w:p>
    <w:p>
      <w:pPr>
        <w:pStyle w:val="Heading2"/>
      </w:pPr>
      <w:r>
        <w:t>Nachhaltigkeitsschulung in der Notfallmedizin: Effekte auf Wissen und Verhalten</w:t>
      </w:r>
    </w:p>
    <w:p>
      <w:r>
        <w:rPr>
          <w:i/>
          <w:color w:val="666666"/>
          <w:sz w:val="18"/>
        </w:rPr>
        <w:t>Ashkezari AD et al.  ·  West J Emerg Med  ·  10.08.2026  ·  PMID 42900914</w:t>
      </w:r>
    </w:p>
    <w:p>
      <w:r>
        <w:t>Prospektive Vor-Nachher-Studie zur Wirksamkeit eines Kurzvideos über nachhaltige Klinikpraxis bei US-amerikanischen Notfallmedizinern (N=34).</w:t>
      </w:r>
    </w:p>
    <w:p>
      <w:r>
        <w:rPr>
          <w:b/>
        </w:rPr>
        <w:t xml:space="preserve">Ergebnis: </w:t>
      </w:r>
      <w:r>
        <w:t>Wissenswerte stiegen von 55,0% auf 68,0% unmittelbar nach der Intervention (p&lt;0,001) und blieben bei 65,0% nach einem Monat erhöht (p=0,003). Einstellungen verbesserten sich signifikant (p=0,001). Bei Verhaltensänderungen zeigten sich Verbesserungen: bevorzugte Verordnung von Pulverinhalatoren stieg von 12,0% auf 37,0% (p&lt;0,050), Müllvermeidungsbestrebungen von 56,0% auf 87,0% (p&lt;0,050).</w:t>
      </w:r>
    </w:p>
    <w:p>
      <w:r>
        <w:rPr>
          <w:b/>
          <w:sz w:val="19"/>
        </w:rPr>
        <w:t xml:space="preserve">Übertragbarkeit: </w:t>
      </w:r>
      <w:r>
        <w:rPr>
          <w:sz w:val="19"/>
        </w:rPr>
        <w:t>USA-Gesundheitswesen, aber Transfer-Methodik auf deutsches Klinikmanagement anwendbar</w:t>
      </w:r>
    </w:p>
    <w:p>
      <w:r>
        <w:rPr>
          <w:color w:val="5A7D3A"/>
          <w:sz w:val="18"/>
        </w:rPr>
        <w:t>https://pubmed.ncbi.nlm.nih.gov/42900914/</w:t>
      </w:r>
    </w:p>
    <w:p>
      <w:pPr>
        <w:pStyle w:val="Heading2"/>
      </w:pPr>
      <w:r>
        <w:t>Erhitzte Tabakprodukte: Reduktion von Emissionen ohne bewiesene klinische Vorteile</w:t>
      </w:r>
    </w:p>
    <w:p>
      <w:r>
        <w:rPr>
          <w:i/>
          <w:color w:val="666666"/>
          <w:sz w:val="18"/>
        </w:rPr>
        <w:t>Bisht A et al.  ·  Front Public Health  ·  21.09.2026  ·  PMID 42835745</w:t>
      </w:r>
    </w:p>
    <w:p>
      <w:r>
        <w:t>Narrative Übersichtsarbeit zu Zusammensetzung, Exposition und Gesundheitsfolgen erhitzter Tabakprodukte (HTPs) im Vergleich zu Zigaretten auf vier Ebenen: Produktemissionen, Biomarker der Humanexposition, individuelle Krankheitsrisiken und Bevölkerungsgesundheitsfolgen.</w:t>
      </w:r>
    </w:p>
    <w:p>
      <w:r>
        <w:rPr>
          <w:b/>
        </w:rPr>
        <w:t xml:space="preserve">Ergebnis: </w:t>
      </w:r>
      <w:r>
        <w:t>HTPs reduzieren zwar einige Verbrennungstoxine im Vergleich zu Zigaretten, sind aber nicht risikofrei. Reduzierte Emissionen und Biomarker belegen nicht automatisch reduzierte klinische Erkrankungen oder Mortalität. Die Bevölkerungsgesundheitsfolgen hängen ab von: Aufnahmemuster, sozialen Kontexten, Nutzungsfrequenz, exklusiv vs. Dual-Konsum, Vorerkrankungen, regulatorischer Umgebung. Bisher keine ausreichende Langzeitepidemiologie.</w:t>
      </w:r>
    </w:p>
    <w:p>
      <w:r>
        <w:rPr>
          <w:b/>
          <w:sz w:val="19"/>
        </w:rPr>
        <w:t xml:space="preserve">Übertragbarkeit: </w:t>
      </w:r>
      <w:r>
        <w:rPr>
          <w:sz w:val="19"/>
        </w:rPr>
        <w:t>Globale Evidenz, Methodik auf deutsches Tabakkontroll-Setting übertragbar</w:t>
      </w:r>
    </w:p>
    <w:p>
      <w:r>
        <w:rPr>
          <w:color w:val="5A7D3A"/>
          <w:sz w:val="18"/>
        </w:rPr>
        <w:t>https://pubmed.ncbi.nlm.nih.gov/42835745/</w:t>
      </w:r>
    </w:p>
    <w:p>
      <w:pPr>
        <w:pStyle w:val="Heading2"/>
      </w:pPr>
      <w:r>
        <w:t>Social Prescribing: Gemeinderessourcen als Antwort auf Systemlastgrenzen</w:t>
      </w:r>
    </w:p>
    <w:p>
      <w:r>
        <w:rPr>
          <w:i/>
          <w:color w:val="666666"/>
          <w:sz w:val="18"/>
        </w:rPr>
        <w:t>Mulligan K  ·  Healthc Pap  ·  Juni 2026  ·  PMID 42834014</w:t>
      </w:r>
    </w:p>
    <w:p>
      <w:r>
        <w:t>Strategiepapier über Social Prescribing als strukturierte Verbindung von Patient:innen mit Gemeinderessourcen durch Linkworker; Analyse für kanadisches Gesundheitssystem unter Berücksichtigung von Klimawandel-Resilienz und Health Equity.</w:t>
      </w:r>
    </w:p>
    <w:p>
      <w:r>
        <w:rPr>
          <w:b/>
        </w:rPr>
        <w:t xml:space="preserve">Ergebnis: </w:t>
      </w:r>
      <w:r>
        <w:t>Modellierung zeigt potenziellen ROI von 4,43 Dollar pro investiertem Dollar. Kanadas System ist an Grenzen angekommen (400 Mrd. CA$/Jahr, 20% ohne Hausarzt, Notfalloverlauf, persistente Health Inequities). Social Prescribing adressiert Systemlastgrenzen durch Umleitung öffentlicher Investitionen in Gemeindeinfrastruktur und bietet Resilienz gegen Klimawandel, Handelsinstabilität und geopolitische Unsicherheit.</w:t>
      </w:r>
    </w:p>
    <w:p>
      <w:r>
        <w:rPr>
          <w:b/>
          <w:sz w:val="19"/>
        </w:rPr>
        <w:t xml:space="preserve">Übertragbarkeit: </w:t>
      </w:r>
      <w:r>
        <w:rPr>
          <w:sz w:val="19"/>
        </w:rPr>
        <w:t>Kanada (gemäßigte Klimazone, hohe Systemvergleichbarkeit mit Deutschland)</w:t>
      </w:r>
    </w:p>
    <w:p>
      <w:r>
        <w:rPr>
          <w:color w:val="5A7D3A"/>
          <w:sz w:val="18"/>
        </w:rPr>
        <w:t>https://pubmed.ncbi.nlm.nih.gov/42834014/</w:t>
      </w:r>
    </w:p>
    <w:p>
      <w:pPr>
        <w:pStyle w:val="Heading2"/>
      </w:pPr>
      <w:r>
        <w:t>Expertenkonsens für vergleichbare Messung von Passivrauchexposition</w:t>
      </w:r>
    </w:p>
    <w:p>
      <w:r>
        <w:rPr>
          <w:i/>
          <w:color w:val="666666"/>
          <w:sz w:val="18"/>
        </w:rPr>
        <w:t>Teijeiro A et al.  ·  Pulmonology  ·  21.08.2026  ·  PMID 42625490</w:t>
      </w:r>
    </w:p>
    <w:p>
      <w:r>
        <w:t>Zwei-Runden-Delphi-Studie mit Expert:innen aus Portugal und Brasilien zur Standardisierung von Fragebogenkonzepten für Passivrauch-Exposition in epidemiologischen Erhebungen.</w:t>
      </w:r>
    </w:p>
    <w:p>
      <w:r>
        <w:rPr>
          <w:b/>
        </w:rPr>
        <w:t xml:space="preserve">Ergebnis: </w:t>
      </w:r>
      <w:r>
        <w:t>Expert:innen einigten sich auf zentrale Messkonzepte: Exposition sollte in spezifischen Settings erfasst werden (Zuhause, Arbeitsplatz, öffentliche/private Verkehrsmittel, Freizeit); Recall-Fragen sollten Stunden indoors/outdoors an Arbeits- und Nicht-Arbeitstagen im letzten Monat abfragen; Expositionsintensität durch Raucheranteil oder wahrgenommene Rauchbelastung beurteilt werden. Länderunterschiede waren minimal. Standardisierte Fragebogen ermöglichen vergleichbare Datenerhebung für evidenzbasierte Tabakpolitik.</w:t>
      </w:r>
    </w:p>
    <w:p>
      <w:r>
        <w:rPr>
          <w:b/>
          <w:sz w:val="19"/>
        </w:rPr>
        <w:t xml:space="preserve">Übertragbarkeit: </w:t>
      </w:r>
      <w:r>
        <w:rPr>
          <w:sz w:val="19"/>
        </w:rPr>
        <w:t>Portugal (EU-Mitgliedstaat), vergleichbares Gesundheitswesen und Klimazone</w:t>
      </w:r>
    </w:p>
    <w:p>
      <w:r>
        <w:rPr>
          <w:color w:val="5A7D3A"/>
          <w:sz w:val="18"/>
        </w:rPr>
        <w:t>https://pubmed.ncbi.nlm.nih.gov/42625490/</w:t>
      </w:r>
    </w:p>
    <w:p>
      <w:pPr>
        <w:pStyle w:val="Heading1"/>
      </w:pPr>
      <w:r>
        <w:t>Aufgenommen am 21.10.2026</w:t>
      </w:r>
    </w:p>
    <w:p>
      <w:pPr>
        <w:pStyle w:val="Heading2"/>
      </w:pPr>
      <w:r>
        <w:t>Hitzebedingte Erkrankungen bei älteren Menschen und Notfallmedizin</w:t>
      </w:r>
    </w:p>
    <w:p>
      <w:r>
        <w:rPr>
          <w:i/>
          <w:color w:val="666666"/>
          <w:sz w:val="18"/>
        </w:rPr>
        <w:t>Simon EL et al.  ·  West J Emerg Med  ·  17.08.2026  ·  PMID 42900944</w:t>
      </w:r>
    </w:p>
    <w:p>
      <w:r>
        <w:t>Narrative Review zu Vulnerabilität älterer Erwachsener gegenüber extremer Hitze und deren Folgen für Notaufnahmen sowie klinische und Public-Health-Strategien.</w:t>
      </w:r>
    </w:p>
    <w:p>
      <w:r>
        <w:rPr>
          <w:b/>
        </w:rPr>
        <w:t xml:space="preserve">Ergebnis: </w:t>
      </w:r>
      <w:r>
        <w:t>Älter Menschen zeigen erhöhte Hitzesterblichkeit und -morbidität durch physiologische Alterungsprozesse, Komorbiditäten und Polypharmaka. Empfohlen werden proaktive Prävention, frühe Erkennung und koordinierte Gemeinschaftsinterventionen als essentiell.</w:t>
      </w:r>
    </w:p>
    <w:p>
      <w:r>
        <w:rPr>
          <w:b/>
          <w:sz w:val="19"/>
        </w:rPr>
        <w:t xml:space="preserve">Übertragbarkeit: </w:t>
      </w:r>
      <w:r>
        <w:rPr>
          <w:sz w:val="19"/>
        </w:rPr>
        <w:t>USA, gemäßigte Klimazone, Methodik und Risikogruppen-Prinzipien übertragbar</w:t>
      </w:r>
    </w:p>
    <w:p>
      <w:r>
        <w:rPr>
          <w:color w:val="5A7D3A"/>
          <w:sz w:val="18"/>
        </w:rPr>
        <w:t>https://pubmed.ncbi.nlm.nih.gov/42900944/</w:t>
      </w:r>
    </w:p>
    <w:p>
      <w:pPr>
        <w:pStyle w:val="Heading2"/>
      </w:pPr>
      <w:r>
        <w:t>Steigende Temperaturen und Traumapräsentationen in der Notaufnahme</w:t>
      </w:r>
    </w:p>
    <w:p>
      <w:r>
        <w:rPr>
          <w:i/>
          <w:color w:val="666666"/>
          <w:sz w:val="18"/>
        </w:rPr>
        <w:t>Mosley GE et al.  ·  West J Emerg Med  ·  24.09.2026  ·  PMID 42900920</w:t>
      </w:r>
    </w:p>
    <w:p>
      <w:r>
        <w:t>Retrospektive Kohortenstudie zur Assoziation zwischen Tagestemperatur und Traumafallaufkommen, stratifiziert nach Verletzungsmechanismus.</w:t>
      </w:r>
    </w:p>
    <w:p>
      <w:r>
        <w:rPr>
          <w:b/>
        </w:rPr>
        <w:t xml:space="preserve">Ergebnis: </w:t>
      </w:r>
      <w:r>
        <w:t>Beide maximale und minimale Tagestemperaturen korrelierten positiv mit Traumaaktivierungen. Gewalttaten zeigten stärkste Assoziation: Im höchsten Temperaturquintil (&gt;83 °F) 83 % höhere Gewalttaumata (IRR 1,83; 95%-KI 1,46–2,29) vs. niedrigstem Quintil.</w:t>
      </w:r>
    </w:p>
    <w:p>
      <w:r>
        <w:rPr>
          <w:b/>
          <w:sz w:val="19"/>
        </w:rPr>
        <w:t xml:space="preserve">Übertragbarkeit: </w:t>
      </w:r>
      <w:r>
        <w:rPr>
          <w:sz w:val="19"/>
        </w:rPr>
        <w:t>USA-Daten, gemäßigte Klimazone; epidemiologische Methodik auf Deutschland übertragbar</w:t>
      </w:r>
    </w:p>
    <w:p>
      <w:r>
        <w:rPr>
          <w:color w:val="5A7D3A"/>
          <w:sz w:val="18"/>
        </w:rPr>
        <w:t>https://pubmed.ncbi.nlm.nih.gov/42900920/</w:t>
      </w:r>
    </w:p>
    <w:p>
      <w:pPr>
        <w:pStyle w:val="Heading2"/>
      </w:pPr>
      <w:r>
        <w:t>Kühlung mit Eiswasserbeuteln bei Hitzschlag im Notfalleinsatz</w:t>
      </w:r>
    </w:p>
    <w:p>
      <w:r>
        <w:rPr>
          <w:i/>
          <w:color w:val="666666"/>
          <w:sz w:val="18"/>
        </w:rPr>
        <w:t>Zashin D et al.  ·  West J Emerg Med  ·  05.09.2026  ·  PMID 42900913</w:t>
      </w:r>
    </w:p>
    <w:p>
      <w:r>
        <w:t>Randomisierte Crossover-Studie zur Abkühlungsrate bei Patienten mit belastungsbedingter Hyperthermie mittels Eiswasserbeutel gegenüber Kontrollbedingung.</w:t>
      </w:r>
    </w:p>
    <w:p>
      <w:r>
        <w:rPr>
          <w:b/>
        </w:rPr>
        <w:t xml:space="preserve">Ergebnis: </w:t>
      </w:r>
      <w:r>
        <w:t>Eiswasserbeutel (partielle Immersion) erreichten Abkühlungsrate von 0,102 °C/min vs. 0,040 °C/min in Kontrolle (95%-KI 0,030–0,095; p=0,002). Kühlzeit 13,2 min vs. 27,6 min (p=0,002).</w:t>
      </w:r>
    </w:p>
    <w:p>
      <w:r>
        <w:rPr>
          <w:b/>
          <w:sz w:val="19"/>
        </w:rPr>
        <w:t xml:space="preserve">Übertragbarkeit: </w:t>
      </w:r>
      <w:r>
        <w:rPr>
          <w:sz w:val="19"/>
        </w:rPr>
        <w:t>USA, praktische Notfall-Intervention; Methode für Hitzschlag-Protokolle relevant</w:t>
      </w:r>
    </w:p>
    <w:p>
      <w:r>
        <w:rPr>
          <w:color w:val="5A7D3A"/>
          <w:sz w:val="18"/>
        </w:rPr>
        <w:t>https://pubmed.ncbi.nlm.nih.gov/42900913/</w:t>
      </w:r>
    </w:p>
    <w:p>
      <w:pPr>
        <w:pStyle w:val="Heading2"/>
      </w:pPr>
      <w:r>
        <w:t>Gerechtigkeit und Chancengleichheit in klimabedingten Katastrophen</w:t>
      </w:r>
    </w:p>
    <w:p>
      <w:r>
        <w:rPr>
          <w:i/>
          <w:color w:val="666666"/>
          <w:sz w:val="18"/>
        </w:rPr>
        <w:t>Mundo W et al.  ·  West J Emerg Med  ·  10.08.2026  ·  PMID 42900907</w:t>
      </w:r>
    </w:p>
    <w:p>
      <w:r>
        <w:t>Narrative Review zu Verdrängung und Vulnerabilität durch klimabedingte Katastrophen mit fokus auf Implementationswissenschaft und Equity in Notfall- und Recovery-Prozessen.</w:t>
      </w:r>
    </w:p>
    <w:p>
      <w:r>
        <w:rPr>
          <w:b/>
        </w:rPr>
        <w:t xml:space="preserve">Ergebnis: </w:t>
      </w:r>
      <w:r>
        <w:t>Studie identifiziert Sprachenbarrieren, Fragmentierung von Recovery-Maßnahmen und unzureichende Dokumentation als zentrale operative Hürden. Empfohlen: mehrsprachige Warnsysteme, Dolmetscher-bereite Triage, mobile Kliniken und Policy-Änderungen für vulnerable Gruppen.</w:t>
      </w:r>
    </w:p>
    <w:p>
      <w:r>
        <w:rPr>
          <w:b/>
          <w:sz w:val="19"/>
        </w:rPr>
        <w:t xml:space="preserve">Übertragbarkeit: </w:t>
      </w:r>
      <w:r>
        <w:rPr>
          <w:sz w:val="19"/>
        </w:rPr>
        <w:t>USA/Kanada, Implementationsmethoden und Equity-Rahmenbau klimagerecht</w:t>
      </w:r>
    </w:p>
    <w:p>
      <w:r>
        <w:rPr>
          <w:color w:val="5A7D3A"/>
          <w:sz w:val="18"/>
        </w:rPr>
        <w:t>https://pubmed.ncbi.nlm.nih.gov/42900907/</w:t>
      </w:r>
    </w:p>
    <w:p>
      <w:pPr>
        <w:pStyle w:val="Heading2"/>
      </w:pPr>
      <w:r>
        <w:t>Soziale Benachteiligung, Luftverschmutzung und metabolische Gesundheit</w:t>
      </w:r>
    </w:p>
    <w:p>
      <w:r>
        <w:rPr>
          <w:i/>
          <w:color w:val="666666"/>
          <w:sz w:val="18"/>
        </w:rPr>
        <w:t>Ma Y et al.  ·  Front Endocrinol (Lausanne)  ·  30.09.2026  ·  PMID 42876562</w:t>
      </w:r>
    </w:p>
    <w:p>
      <w:r>
        <w:t>Multi-Datenbank-Observationsstudie zu gemeinsamen Assoziationen von Deprivation und Luftverschmutzung mit Leberfett und Adipositas bei Frauen mittleren und höheren Alters.</w:t>
      </w:r>
    </w:p>
    <w:p>
      <w:r>
        <w:rPr>
          <w:b/>
        </w:rPr>
        <w:t xml:space="preserve">Ergebnis: </w:t>
      </w:r>
      <w:r>
        <w:t>Bei 231.525 UK-Frauen: Jede Einheit höherer Deprivation assoziiert mit höherem Fatty Liver Index (β=1,114; 95%-KI 1,069–1,159) und höherer Odds für FLI≥60 (OR 1,080; 95%-KI 1,076–1,084). Luftverschmutzungseffekt auf FLI-Assoziation wurde nach Deprivationsadjustment attenuiert.</w:t>
      </w:r>
    </w:p>
    <w:p>
      <w:r>
        <w:rPr>
          <w:b/>
          <w:sz w:val="19"/>
        </w:rPr>
        <w:t xml:space="preserve">Übertragbarkeit: </w:t>
      </w:r>
      <w:r>
        <w:rPr>
          <w:sz w:val="19"/>
        </w:rPr>
        <w:t>UK Biobank, vergleichbares Klima und Versorgungssystem wie Deutschland</w:t>
      </w:r>
    </w:p>
    <w:p>
      <w:r>
        <w:rPr>
          <w:color w:val="5A7D3A"/>
          <w:sz w:val="18"/>
        </w:rPr>
        <w:t>https://pubmed.ncbi.nlm.nih.gov/42876562/</w:t>
      </w:r>
    </w:p>
    <w:p>
      <w:pPr>
        <w:pStyle w:val="Heading2"/>
      </w:pPr>
      <w:r>
        <w:t>Rückgang häufiger Arten gefährdet Ökosysteme weltweit</w:t>
      </w:r>
    </w:p>
    <w:p>
      <w:r>
        <w:rPr>
          <w:i/>
          <w:color w:val="666666"/>
          <w:sz w:val="18"/>
        </w:rPr>
        <w:t>Xu W et al.  ·  Nat Commun  ·  12.09.2026  ·  PMID 42869934</w:t>
      </w:r>
    </w:p>
    <w:p>
      <w:r>
        <w:t>Hierarchische Bayesian-Synthese von Populationstrends aus 4.748 Standorten über 129 Studien zu Häufigkeitsveränderungen von Arten in Reaktion auf Klimawandel und anthropogene Treiber.</w:t>
      </w:r>
    </w:p>
    <w:p>
      <w:r>
        <w:rPr>
          <w:b/>
        </w:rPr>
        <w:t xml:space="preserve">Ergebnis: </w:t>
      </w:r>
      <w:r>
        <w:t>Konsistent stärkerer Rückgang anfangs häufiger Arten in Marine- und Terrestrisch-Ökosystemen; Süßwasser zeigt kein klares Muster. Klimaerwärmung und nicht-klimatische Menschendruck modulierten Trends, mit teilweise attenuierendem Effekt auf Verluste häufiger Arten (marine Systeme).</w:t>
      </w:r>
    </w:p>
    <w:p>
      <w:r>
        <w:rPr>
          <w:b/>
          <w:sz w:val="19"/>
        </w:rPr>
        <w:t xml:space="preserve">Übertragbarkeit: </w:t>
      </w:r>
      <w:r>
        <w:rPr>
          <w:sz w:val="19"/>
        </w:rPr>
        <w:t>Globale Daten mit Klimawandelbezug; funktionale Konsequenzen für Planetary Health relevant</w:t>
      </w:r>
    </w:p>
    <w:p>
      <w:r>
        <w:rPr>
          <w:color w:val="5A7D3A"/>
          <w:sz w:val="18"/>
        </w:rPr>
        <w:t>https://pubmed.ncbi.nlm.nih.gov/42869934/</w:t>
      </w:r>
    </w:p>
    <w:p>
      <w:pPr>
        <w:pStyle w:val="Heading1"/>
      </w:pPr>
      <w:r>
        <w:t>Aufgenommen am 20.10.2026</w:t>
      </w:r>
    </w:p>
    <w:p>
      <w:pPr>
        <w:pStyle w:val="Heading2"/>
      </w:pPr>
      <w:r>
        <w:t>Schwermetallbelastung Schwangerer: Urin, Hausstaub und Luftqualität</w:t>
      </w:r>
    </w:p>
    <w:p>
      <w:r>
        <w:rPr>
          <w:i/>
          <w:color w:val="666666"/>
          <w:sz w:val="18"/>
        </w:rPr>
        <w:t>Moradnia M et al.  ·  Environ Geochem Health  ·  19.10.2026  ·  PMID 42895578</w:t>
      </w:r>
    </w:p>
    <w:p>
      <w:r>
        <w:t>Studie untersuchte die räumliche Variabilität von Blei, Chrom, Kadmium und Nickel in Urin und Hausstaub bei 80 schwangeren Frauen im Kontext der Luftqualität.</w:t>
      </w:r>
    </w:p>
    <w:p>
      <w:r>
        <w:rPr>
          <w:b/>
        </w:rPr>
        <w:t xml:space="preserve">Ergebnis: </w:t>
      </w:r>
      <w:r>
        <w:t>Bedeutsame räumliche Unterschiede für Urin-Metallkonzentrationen und Air-Quality-Index (p&lt;0,001), nicht aber für Hausstaub-Metallkonzentrationen. Blei im Hausstaub Mittelwert 111,10 μg/g. Gebäudealter korrelierte stark mit Blei im Staub (ρ=0,788, p&lt;0,001). Urin- und Staubprofile nicht signifikant korreliert.</w:t>
      </w:r>
    </w:p>
    <w:p>
      <w:r>
        <w:rPr>
          <w:b/>
          <w:sz w:val="19"/>
        </w:rPr>
        <w:t xml:space="preserve">Übertragbarkeit: </w:t>
      </w:r>
      <w:r>
        <w:rPr>
          <w:sz w:val="19"/>
        </w:rPr>
        <w:t>Iran; zeigt prinzipielle Komplexität pränataler Exposition – in Deutschland relevant für vulnerable Populationen und Screening-Strategien.</w:t>
      </w:r>
    </w:p>
    <w:p>
      <w:r>
        <w:rPr>
          <w:color w:val="5A7D3A"/>
          <w:sz w:val="18"/>
        </w:rPr>
        <w:t>https://pubmed.ncbi.nlm.nih.gov/42895578/</w:t>
      </w:r>
    </w:p>
    <w:p>
      <w:pPr>
        <w:pStyle w:val="Heading2"/>
      </w:pPr>
      <w:r>
        <w:t>Luftverschmutzung und Hirnleistung: Schutzeffekt gesunder Lebensweise</w:t>
      </w:r>
    </w:p>
    <w:p>
      <w:r>
        <w:rPr>
          <w:i/>
          <w:color w:val="666666"/>
          <w:sz w:val="18"/>
        </w:rPr>
        <w:t>Zhang Y et al.  ·  J Glob Health  ·  19.10.2026  ·  PMID 42895283</w:t>
      </w:r>
    </w:p>
    <w:p>
      <w:r>
        <w:t>Studie untersuchte die Assoziation zwischen Langzeit-Luftverschmutzung und kognitiven Störungen bei älteren Erwachsenen in China sowie die schützende Rolle von Lebensstiländerungen.</w:t>
      </w:r>
    </w:p>
    <w:p>
      <w:r>
        <w:rPr>
          <w:b/>
        </w:rPr>
        <w:t xml:space="preserve">Ergebnis: </w:t>
      </w:r>
      <w:r>
        <w:t>Pro 10 μg/m³ Feinstaub (PM2.5) erhöhtes Kognitiv-Störungs-Risiko (HR 1,005; 95%-KI 1,001–1,009). Günstige Lebensweise reduzierte Risiko um etwa 52% bei hoher Exposition; Lifestyle mediierte 8,4–9,4% der Assoziation. Mischexposition mehrerer Schadstoffe zeigte signifikanten positiven Effekt auf Kognitiv-Störungs-Risiko (OR 1,028; 95%-KI 1,006–1,040).</w:t>
      </w:r>
    </w:p>
    <w:p>
      <w:r>
        <w:rPr>
          <w:b/>
          <w:sz w:val="19"/>
        </w:rPr>
        <w:t xml:space="preserve">Übertragbarkeit: </w:t>
      </w:r>
      <w:r>
        <w:rPr>
          <w:sz w:val="19"/>
        </w:rPr>
        <w:t>China mit vergleichbarem Alter und Exposition; Lebensstil-Intervention prinzipiell auch in Deutschland anwendbar.</w:t>
      </w:r>
    </w:p>
    <w:p>
      <w:r>
        <w:rPr>
          <w:color w:val="5A7D3A"/>
          <w:sz w:val="18"/>
        </w:rPr>
        <w:t>https://pubmed.ncbi.nlm.nih.gov/42895283/</w:t>
      </w:r>
    </w:p>
    <w:p>
      <w:pPr>
        <w:pStyle w:val="Heading2"/>
      </w:pPr>
      <w:r>
        <w:t>Planetary-Health-Literacy: Messinstrumente auf dem Prüfstand</w:t>
      </w:r>
    </w:p>
    <w:p>
      <w:r>
        <w:rPr>
          <w:i/>
          <w:color w:val="666666"/>
          <w:sz w:val="18"/>
        </w:rPr>
        <w:t>Reismann L et al.  ·  Health Qual Life Outcomes  ·  16.10.2026  ·  PMID 42888415</w:t>
      </w:r>
    </w:p>
    <w:p>
      <w:r>
        <w:t>Systematische Übersicht zur Güte von Messinstrumenten für Planetary and One Health Literacy nach COSMIN-Kriterien.</w:t>
      </w:r>
    </w:p>
    <w:p>
      <w:r>
        <w:rPr>
          <w:b/>
        </w:rPr>
        <w:t xml:space="preserve">Ergebnis: </w:t>
      </w:r>
      <w:r>
        <w:t>Von 192 gescreenten Datensätzen 4 Studien identifiziert mit 3 Instrumenten (CCHLS, Climate Change and Infectious Disease Literacy Scale, SFLS). Sustainable Food Literacy Scale (SFLS) zeigte beste Messeigenschaften mit sehr guter Evidenzqualität; türkische Adaptation hatte niedrige methodische Qualität. Alle Instrumente: niedrige bis sehr niedrige Evidenzqualität für Entwicklung und Inhaltsvalidität.</w:t>
      </w:r>
    </w:p>
    <w:p>
      <w:r>
        <w:rPr>
          <w:b/>
          <w:sz w:val="19"/>
        </w:rPr>
        <w:t xml:space="preserve">Übertragbarkeit: </w:t>
      </w:r>
      <w:r>
        <w:rPr>
          <w:sz w:val="19"/>
        </w:rPr>
        <w:t>Deutsche Studien unter Autoren; zeigt Messbarkeits-Lücke bei Klimabewusstsein für deutsches Gesundheitswesen.</w:t>
      </w:r>
    </w:p>
    <w:p>
      <w:r>
        <w:rPr>
          <w:color w:val="5A7D3A"/>
          <w:sz w:val="18"/>
        </w:rPr>
        <w:t>https://pubmed.ncbi.nlm.nih.gov/42888415/</w:t>
      </w:r>
    </w:p>
    <w:p>
      <w:pPr>
        <w:pStyle w:val="Heading2"/>
      </w:pPr>
      <w:r>
        <w:t>Passivrauchen in der Schwangerschaft: Selbstwirksamkeit und objektive Biomarker</w:t>
      </w:r>
    </w:p>
    <w:p>
      <w:r>
        <w:rPr>
          <w:i/>
          <w:color w:val="666666"/>
          <w:sz w:val="18"/>
        </w:rPr>
        <w:t>Karimiankakolaki Z et al.  ·  BMC Res Notes  ·  05.10.2026  ·  PMID 42881409</w:t>
      </w:r>
    </w:p>
    <w:p>
      <w:r>
        <w:t>Querschnittsstudie untersuchte Zusammenhänge zwischen Selbstwirksamkeit rauchender Männer, ihrer Zigarettenkonsumption, Angaben schwangerer Partnerinnen und Speichel-Cotinin-Spiegeln.</w:t>
      </w:r>
    </w:p>
    <w:p>
      <w:r>
        <w:rPr>
          <w:b/>
        </w:rPr>
        <w:t xml:space="preserve">Ergebnis: </w:t>
      </w:r>
      <w:r>
        <w:t>140 rauchende Männer und schwangere Frauen: mittlere Männer-Selbstwirksamkeit 37,86 (SD 4,27), Zigarettenkonsum 6,46 (SD 4,50) pro Tag, Cotinin-Spiegel 52,90 (SD 33,39) pg/ml. Signifikante Korrelationen zwischen Selbstwirksamkeit und Konsum (r=−0,31), Selbstwirksamkeit und berichteter Exposition (r=−0,41), berichteter Exposition und Cotinin (r=0,72). Im Regressionsmodell: berichtete Exposition (β=0,63, p&lt;0,001) und Selbstwirksamkeit (β=−0,14, p=0,022) erklärten 56% der Varianz in Cotinin.</w:t>
      </w:r>
    </w:p>
    <w:p>
      <w:r>
        <w:rPr>
          <w:b/>
          <w:sz w:val="19"/>
        </w:rPr>
        <w:t xml:space="preserve">Übertragbarkeit: </w:t>
      </w:r>
      <w:r>
        <w:rPr>
          <w:sz w:val="19"/>
        </w:rPr>
        <w:t>Iran; Mechanismus (Verhaltensfaktoren und objektive Biomarker) auf Deutschland übertragbar; Screening von Schwangerschaftsexposition.</w:t>
      </w:r>
    </w:p>
    <w:p>
      <w:r>
        <w:rPr>
          <w:color w:val="5A7D3A"/>
          <w:sz w:val="18"/>
        </w:rPr>
        <w:t>https://pubmed.ncbi.nlm.nih.gov/42881409/</w:t>
      </w:r>
    </w:p>
    <w:p>
      <w:pPr>
        <w:pStyle w:val="Heading2"/>
      </w:pPr>
      <w:r>
        <w:t>Luftverschmutzung und Sterblichkeit in reichem Land: Abu Dhabi</w:t>
      </w:r>
    </w:p>
    <w:p>
      <w:r>
        <w:rPr>
          <w:i/>
          <w:color w:val="666666"/>
          <w:sz w:val="18"/>
        </w:rPr>
        <w:t>Wei T et al.  ·  Risk Anal  ·  Nov. 2026  ·  PMID 42872515</w:t>
      </w:r>
    </w:p>
    <w:p>
      <w:r>
        <w:t>Studie schätzte die Krankheitslast durch Feinstaub und Ozon in Abu Dhabi 2019–2022 und verglich sie mit Daten von 2008.</w:t>
      </w:r>
    </w:p>
    <w:p>
      <w:r>
        <w:rPr>
          <w:b/>
        </w:rPr>
        <w:t xml:space="preserve">Ergebnis: </w:t>
      </w:r>
      <w:r>
        <w:t>Zurechenbare Todesfälle stiegen von 231 (90%-UI 59–427) im Jahr 2008 auf 1.249 (90%-UI 507–2.169) im Mittel 2019–2022, trotz Investitionen in Luftqualitätsmanagemnet. Stadtgebiete mit höherer Schadstoffkonzentration zeigen höchste Risiken.</w:t>
      </w:r>
    </w:p>
    <w:p>
      <w:r>
        <w:rPr>
          <w:b/>
          <w:sz w:val="19"/>
        </w:rPr>
        <w:t xml:space="preserve">Übertragbarkeit: </w:t>
      </w:r>
      <w:r>
        <w:rPr>
          <w:sz w:val="19"/>
        </w:rPr>
        <w:t>Wohlhabendes Land, andere Klimazone; Methodik und Monitoring-Ansatz übertragbar, nicht Schwellwerte.</w:t>
      </w:r>
    </w:p>
    <w:p>
      <w:r>
        <w:rPr>
          <w:color w:val="5A7D3A"/>
          <w:sz w:val="18"/>
        </w:rPr>
        <w:t>https://pubmed.ncbi.nlm.nih.gov/42872515/</w:t>
      </w:r>
    </w:p>
    <w:p>
      <w:pPr>
        <w:pStyle w:val="Heading2"/>
      </w:pPr>
      <w:r>
        <w:t>Evaluationszeiträume bei Tabak-Kontrollrichtlinien in Nordamerika und Commonwealth</w:t>
      </w:r>
    </w:p>
    <w:p>
      <w:r>
        <w:rPr>
          <w:i/>
          <w:color w:val="666666"/>
          <w:sz w:val="18"/>
        </w:rPr>
        <w:t>Aziz H et al.  ·  Front Public Health  ·  29.09.2026  ·  PMID 42871433</w:t>
      </w:r>
    </w:p>
    <w:p>
      <w:r>
        <w:t>Systematische Übersicht der Evaluationsverzögerung zwischen Politikimplementierung und Messung von Verhaltenseffekten in Tabakkontrollstudien.</w:t>
      </w:r>
    </w:p>
    <w:p>
      <w:r>
        <w:rPr>
          <w:b/>
        </w:rPr>
        <w:t xml:space="preserve">Ergebnis: </w:t>
      </w:r>
      <w:r>
        <w:t>21 Studien analysiert: Rauchfrei-Richtlinien wurden früher evaluiert (6 Monate bis 1 Jahr), Einzelhandels- und Nikotin-Richtlinien später (≥1 Jahr). 90,5% der Studien zeigten niedriges Verzerrungsrisiko. Die meisten Studien berichteten positive Effekte nach Implementierung.</w:t>
      </w:r>
    </w:p>
    <w:p>
      <w:r>
        <w:rPr>
          <w:b/>
          <w:sz w:val="19"/>
        </w:rPr>
        <w:t xml:space="preserve">Übertragbarkeit: </w:t>
      </w:r>
      <w:r>
        <w:rPr>
          <w:sz w:val="19"/>
        </w:rPr>
        <w:t>Kanada mit ähnlichem Gesundheitssystem; Evidenzlage für optimale Evaluationszeiträume nach Politiktyp relevant für deutsches Tabakkontroll-Monitoring.</w:t>
      </w:r>
    </w:p>
    <w:p>
      <w:r>
        <w:rPr>
          <w:color w:val="5A7D3A"/>
          <w:sz w:val="18"/>
        </w:rPr>
        <w:t>https://pubmed.ncbi.nlm.nih.gov/42871433/</w:t>
      </w:r>
    </w:p>
    <w:p>
      <w:pPr>
        <w:pStyle w:val="Heading1"/>
      </w:pPr>
      <w:r>
        <w:t>Aufgenommen am 19.10.2026</w:t>
      </w:r>
    </w:p>
    <w:p>
      <w:pPr>
        <w:pStyle w:val="Heading2"/>
      </w:pPr>
      <w:r>
        <w:t>Urbane Wärmeinsel und Grünflächenmangel: Satellitenmessung in chinesischen Städten</w:t>
      </w:r>
    </w:p>
    <w:p>
      <w:r>
        <w:rPr>
          <w:i/>
          <w:color w:val="666666"/>
          <w:sz w:val="18"/>
        </w:rPr>
        <w:t>Pu W et al.  ·  Environ Monit Assess  ·  17.10.2026  ·  PMID 42891866</w:t>
      </w:r>
    </w:p>
    <w:p>
      <w:r>
        <w:t>Harmonisierte Landsat-Oberflächentemperatur, Landbedeckung und Bevölkerungsdaten in vier chinesischen Großstädten (2020–2024) zur Kartierung von Wärmestress und Blaugrün-Defiziten.</w:t>
      </w:r>
    </w:p>
    <w:p>
      <w:r>
        <w:rPr>
          <w:b/>
        </w:rPr>
        <w:t xml:space="preserve">Ergebnis: </w:t>
      </w:r>
      <w:r>
        <w:t>8,8 bis 14,1 % der innerstädtischen Grid-Zellen zeigten hohe Wärmestrahlung bei geringem Blaugrün-Angebot (1,52- bis 1,63-fach über Nullerwartung); höchstes Bevölkerungsdezil war 4,19 bis 5,23 °C wärmer als niedrigstes; Modellgüte (R² 0,632–0,896 in städtischen Modellen).</w:t>
      </w:r>
    </w:p>
    <w:p>
      <w:r>
        <w:rPr>
          <w:b/>
          <w:sz w:val="19"/>
        </w:rPr>
        <w:t xml:space="preserve">Übertragbarkeit: </w:t>
      </w:r>
      <w:r>
        <w:rPr>
          <w:sz w:val="19"/>
        </w:rPr>
        <w:t>Chinesische Ballungsräume; Methodik übertragbar – deutsche Städte sollten ähnliche Risikomapping durchführen</w:t>
      </w:r>
    </w:p>
    <w:p>
      <w:r>
        <w:rPr>
          <w:color w:val="5A7D3A"/>
          <w:sz w:val="18"/>
        </w:rPr>
        <w:t>https://pubmed.ncbi.nlm.nih.gov/42891866/</w:t>
      </w:r>
    </w:p>
    <w:p>
      <w:pPr>
        <w:pStyle w:val="Heading2"/>
      </w:pPr>
      <w:r>
        <w:t>Ozonbelastung und Atemwegsgesundheit in den USA: Systematische Übersicht</w:t>
      </w:r>
    </w:p>
    <w:p>
      <w:r>
        <w:rPr>
          <w:i/>
          <w:color w:val="666666"/>
          <w:sz w:val="18"/>
        </w:rPr>
        <w:t>Cho Y et al.  ·  Curr Environ Health Rep  ·  17.10.2026  ·  PMID 42891783</w:t>
      </w:r>
    </w:p>
    <w:p>
      <w:r>
        <w:t>Systematische Übersicht von 1980 bis 2026 über Effekte von Ozonschwankungen auf Lungenfunktion, Asthmasymptome und Atemwegsmorbidität in den USA.</w:t>
      </w:r>
    </w:p>
    <w:p>
      <w:r>
        <w:rPr>
          <w:b/>
        </w:rPr>
        <w:t xml:space="preserve">Ergebnis: </w:t>
      </w:r>
      <w:r>
        <w:t>Konsistente adverse respiratorische Effekte nachgewiesen: Lungenfunktionsdefizite auch unterhalb aktueller Grenzwerte, erhöhte Notaufnahmebesuche und Hospitalisierungen bei Kindern, älteren Erwachsenen und Patienten mit Vorerkrankungen; Schulfehlzeiten als sensitive Outcome-Indikatoren für pädiatrische Respirationsgesundheit identifiziert.</w:t>
      </w:r>
    </w:p>
    <w:p>
      <w:r>
        <w:rPr>
          <w:b/>
          <w:sz w:val="19"/>
        </w:rPr>
        <w:t xml:space="preserve">Übertragbarkeit: </w:t>
      </w:r>
      <w:r>
        <w:rPr>
          <w:sz w:val="19"/>
        </w:rPr>
        <w:t>USA-Daten; Klimawandel verstärkt Ozonbildung – Relevanz für deutsche Ballungsräume</w:t>
      </w:r>
    </w:p>
    <w:p>
      <w:r>
        <w:rPr>
          <w:color w:val="5A7D3A"/>
          <w:sz w:val="18"/>
        </w:rPr>
        <w:t>https://pubmed.ncbi.nlm.nih.gov/42891783/</w:t>
      </w:r>
    </w:p>
    <w:p>
      <w:pPr>
        <w:pStyle w:val="Heading2"/>
      </w:pPr>
      <w:r>
        <w:t>PM2,5 und Lebenserwartung: Methodische Fallstricke in globalen Paneldaten</w:t>
      </w:r>
    </w:p>
    <w:p>
      <w:r>
        <w:rPr>
          <w:i/>
          <w:color w:val="666666"/>
          <w:sz w:val="18"/>
        </w:rPr>
        <w:t>Lu H et al.  ·  Front Public Health  ·  01.10.2026  ·  PMID 42889153</w:t>
      </w:r>
    </w:p>
    <w:p>
      <w:r>
        <w:t>Spezifikationsstudie zu PM2,5-Effekten auf nationale Lebenserwartung (186 Länder, 2000-2023) mit Test auf Robustheit gegenüber Trendkontrolle.</w:t>
      </w:r>
    </w:p>
    <w:p>
      <w:r>
        <w:rPr>
          <w:b/>
        </w:rPr>
        <w:t xml:space="preserve">Ergebnis: </w:t>
      </w:r>
      <w:r>
        <w:t>Konventionelle Modelle zeigten paradox positive PM2,5-Assoziation (+0,406 Jahre pro 10 µg/m³). Nach Hinzunahme von länderspezifischen linearen Trends: -0,023 Jahre (95%-KI -0,175 bis 0,129); in First-Differences-Modellen: -0,006 Jahre (95%-KI -0,085 bis 0,073). Zukünftige PM2,5 zeigte positive Cross-sectional-Assoziation, die nach Anpassung an aktuelle Werte attenuiert wurde.</w:t>
      </w:r>
    </w:p>
    <w:p>
      <w:r>
        <w:rPr>
          <w:b/>
          <w:sz w:val="19"/>
        </w:rPr>
        <w:t xml:space="preserve">Übertragbarkeit: </w:t>
      </w:r>
      <w:r>
        <w:rPr>
          <w:sz w:val="19"/>
        </w:rPr>
        <w:t>Methodische Warnung für Luftqualitätsstudien; Deutschland sollte Trend-Diagnostik verstärken</w:t>
      </w:r>
    </w:p>
    <w:p>
      <w:r>
        <w:rPr>
          <w:color w:val="5A7D3A"/>
          <w:sz w:val="18"/>
        </w:rPr>
        <w:t>https://pubmed.ncbi.nlm.nih.gov/42889153/</w:t>
      </w:r>
    </w:p>
    <w:p>
      <w:pPr>
        <w:pStyle w:val="Heading2"/>
      </w:pPr>
      <w:r>
        <w:t>Trinkwassersalinität und Hitzestress in Kenia: Protokoll zur Nierenfunktion</w:t>
      </w:r>
    </w:p>
    <w:p>
      <w:r>
        <w:rPr>
          <w:i/>
          <w:color w:val="666666"/>
          <w:sz w:val="18"/>
        </w:rPr>
        <w:t>Rojas AJ Jr et al.  ·  Am J Hum Biol  ·  Okt. 2026  ·  PMID 42865079</w:t>
      </w:r>
    </w:p>
    <w:p>
      <w:r>
        <w:t>Studienprotokoll einer Längsschnittstudie mit 600 Erwachsenen in Kenia zur Untersuchung von Wassersalinität und Hitzestress auf Hydration, Nierenfunktion und kardiovaskuläre Effekte.</w:t>
      </w:r>
    </w:p>
    <w:p>
      <w:r>
        <w:rPr>
          <w:b/>
        </w:rPr>
        <w:t xml:space="preserve">Ergebnis: </w:t>
      </w:r>
      <w:r>
        <w:t>Protokoll für saisonale Datenerfassung (Trockenzeit Juni–Juli, Regenzeit März–April) über sechs Wellen; Messung von Salzgehalt, Doppelt-markiertem Wasser, Point-of-Care und laborgestützten Biomarkern; multilevel-Regression zur Quantifizierung von Salz- und Hitzeffekten auf Hypertonie und chronische Nierenkrankheit geplant.</w:t>
      </w:r>
    </w:p>
    <w:p>
      <w:r>
        <w:rPr>
          <w:b/>
          <w:sz w:val="19"/>
        </w:rPr>
        <w:t xml:space="preserve">Übertragbarkeit: </w:t>
      </w:r>
      <w:r>
        <w:rPr>
          <w:sz w:val="19"/>
        </w:rPr>
        <w:t>Kenia, aride Klimazone; Mechanismen generalisierbar – Deutschland sollte Wassersicherheit überwachen</w:t>
      </w:r>
    </w:p>
    <w:p>
      <w:r>
        <w:rPr>
          <w:color w:val="5A7D3A"/>
          <w:sz w:val="18"/>
        </w:rPr>
        <w:t>https://pubmed.ncbi.nlm.nih.gov/42865079/</w:t>
      </w:r>
    </w:p>
    <w:p>
      <w:pPr>
        <w:pStyle w:val="Heading2"/>
      </w:pPr>
      <w:r>
        <w:t>Hitzeinduzierte Schmerzverarbeitung bei autistischen Personen: Geschlechtsdifferenzen</w:t>
      </w:r>
    </w:p>
    <w:p>
      <w:r>
        <w:rPr>
          <w:i/>
          <w:color w:val="666666"/>
          <w:sz w:val="18"/>
        </w:rPr>
        <w:t>Granovsky Y et al.  ·  Eur J Pain  ·  Okt. 2026  ·  PMID 42860550</w:t>
      </w:r>
    </w:p>
    <w:p>
      <w:r>
        <w:t>Querschnittstudie mit 50 autistischen und 52 typisch entwickelten Erwachsenen zu Schmerzratings und kortikalen Reaktionen (N2-Amplituden) auf kalibrierte Hitzestimuli (52°C).</w:t>
      </w:r>
    </w:p>
    <w:p>
      <w:r>
        <w:rPr>
          <w:b/>
        </w:rPr>
        <w:t xml:space="preserve">Ergebnis: </w:t>
      </w:r>
      <w:r>
        <w:t>Autistische Teilnehmer berichteten höhere Schmerzwerte (p = 0,004) und zeigten niedrigere N2-Amplituden (p = 0,02); signifikante Gruppe×Geschlecht-Wechselwirkung (p &lt; 0,001) mit niedrigsten N2-Amplituden bei autistischen Frauen (p &lt; 0,05); nur bei Frauen: positive Assoziation N2-Amplitude–Schmerzbewertung in Kontrollen (r = 0,734; p = 0,004), nicht in autistischen (r = 0,371; p = 0,192).</w:t>
      </w:r>
    </w:p>
    <w:p>
      <w:r>
        <w:rPr>
          <w:b/>
          <w:sz w:val="19"/>
        </w:rPr>
        <w:t xml:space="preserve">Übertragbarkeit: </w:t>
      </w:r>
      <w:r>
        <w:rPr>
          <w:sz w:val="19"/>
        </w:rPr>
        <w:t>Deutschland, Israel; Hitzeverträglichkeit und vulnerable Subgruppen relevant für Hitzeaktionspläne</w:t>
      </w:r>
    </w:p>
    <w:p>
      <w:r>
        <w:rPr>
          <w:color w:val="5A7D3A"/>
          <w:sz w:val="18"/>
        </w:rPr>
        <w:t>https://pubmed.ncbi.nlm.nih.gov/42860550/</w:t>
      </w:r>
    </w:p>
    <w:p>
      <w:pPr>
        <w:pStyle w:val="Heading1"/>
      </w:pPr>
      <w:r>
        <w:t>Aufgenommen am 18.10.2026</w:t>
      </w:r>
    </w:p>
    <w:p>
      <w:pPr>
        <w:pStyle w:val="Heading2"/>
      </w:pPr>
      <w:r>
        <w:t>Soziale Ungleichheiten in Feinstaubexposition während Smog-Saison</w:t>
      </w:r>
    </w:p>
    <w:p>
      <w:r>
        <w:rPr>
          <w:i/>
          <w:color w:val="666666"/>
          <w:sz w:val="18"/>
        </w:rPr>
        <w:t>Sittitoon N et al.  ·  Front Public Health  ·  01.10.2026  ·  PMID 42889179</w:t>
      </w:r>
    </w:p>
    <w:p>
      <w:r>
        <w:t>Querschnittsstudie in Thailand (n=3916) untersuchte, wie Bildung, soziodemografische Faktoren, Schutzverhalten und Umweltfaktoren die PM2,5-bedingten Symptome während der Haze-Saison beeinflussen.</w:t>
      </w:r>
    </w:p>
    <w:p>
      <w:r>
        <w:rPr>
          <w:b/>
        </w:rPr>
        <w:t xml:space="preserve">Ergebnis: </w:t>
      </w:r>
      <w:r>
        <w:t>Respiratorische Symptome waren am häufigsten (80,7%), gefolgt von Augen- (52,8%), Haut- (48,7%) und neurologischen Symptomen (33,1%). Nicht-kompliante Schutzverhalten waren mit erhöhten Chancen für respiratorische und neurologische Symptome verbunden (vs. kompliante Gruppe); höhere PM2,5-Exposition war unabhängig mit erhöhtem Risiko assoziiert.</w:t>
      </w:r>
    </w:p>
    <w:p>
      <w:r>
        <w:rPr>
          <w:b/>
          <w:sz w:val="19"/>
        </w:rPr>
        <w:t xml:space="preserve">Übertragbarkeit: </w:t>
      </w:r>
      <w:r>
        <w:rPr>
          <w:sz w:val="19"/>
        </w:rPr>
        <w:t>Südostasien mit höheren Temperaturschwellen; Methodik und Ungleichheitsperspektive aber prinzipiell relevant</w:t>
      </w:r>
    </w:p>
    <w:p>
      <w:r>
        <w:rPr>
          <w:color w:val="5A7D3A"/>
          <w:sz w:val="18"/>
        </w:rPr>
        <w:t>https://pubmed.ncbi.nlm.nih.gov/42889179/</w:t>
      </w:r>
    </w:p>
    <w:p>
      <w:pPr>
        <w:pStyle w:val="Heading2"/>
      </w:pPr>
      <w:r>
        <w:t>Dengue-Virus-Infektion: Klimawandel und geografische Ausbreitung</w:t>
      </w:r>
    </w:p>
    <w:p>
      <w:r>
        <w:rPr>
          <w:i/>
          <w:color w:val="666666"/>
          <w:sz w:val="18"/>
        </w:rPr>
        <w:t>Ooi YS et al.  ·  Nat Rev Dis Primers  ·  15.10.2026  ·  PMID 42881211</w:t>
      </w:r>
    </w:p>
    <w:p>
      <w:r>
        <w:t>Übersichtsarbeit zur Dengue-Epidemiologie, Klinik und Management beschreibt den sich durch Klimawandel und erhöhte Mobilität ausbreitenden geografischen Kreis der Erkrankung von urbanen in ländliche und periurbane Gebiete.</w:t>
      </w:r>
    </w:p>
    <w:p>
      <w:r>
        <w:rPr>
          <w:b/>
        </w:rPr>
        <w:t xml:space="preserve">Ergebnis: </w:t>
      </w:r>
      <w:r>
        <w:t>Jährlich erkranken ca. 100 Millionen Menschen an Dengue. Die geografische Verbreitung erweitert sich durch erhöhtes Reiseaufkommen und Klimawandel; Faktor für die Krankheitslast ist der Shift von urbanen Zentren in ländliche Bereiche, was zukünftige klinische Präsenz und Versorgungsbedarf für Deutschland absehbar macht.</w:t>
      </w:r>
    </w:p>
    <w:p>
      <w:r>
        <w:rPr>
          <w:b/>
          <w:sz w:val="19"/>
        </w:rPr>
        <w:t xml:space="preserve">Übertragbarkeit: </w:t>
      </w:r>
      <w:r>
        <w:rPr>
          <w:sz w:val="19"/>
        </w:rPr>
        <w:t>Epidemiologie und Dynamik klimasensitiver Vektorkrankheiten; Management-Prinzipien und Erkennung post-akuter Sequelae relevant</w:t>
      </w:r>
    </w:p>
    <w:p>
      <w:r>
        <w:rPr>
          <w:color w:val="5A7D3A"/>
          <w:sz w:val="18"/>
        </w:rPr>
        <w:t>https://pubmed.ncbi.nlm.nih.gov/42881211/</w:t>
      </w:r>
    </w:p>
    <w:p>
      <w:pPr>
        <w:pStyle w:val="Heading2"/>
      </w:pPr>
      <w:r>
        <w:t>Luftqualitätsveränderungen während COVID-19-Lockdowns in Delhi-Metropolregion</w:t>
      </w:r>
    </w:p>
    <w:p>
      <w:r>
        <w:rPr>
          <w:i/>
          <w:color w:val="666666"/>
          <w:sz w:val="18"/>
        </w:rPr>
        <w:t>Biswas S et al.  ·  Sci Prog  ·  14.10.2026  ·  PMID 42874085</w:t>
      </w:r>
    </w:p>
    <w:p>
      <w:r>
        <w:t>Longitudinale Analyse der Luftqualität (PM2,5, PM10, NOx, SO2, CO, O3) in Delhi-NCR während COVID-19-Lockdown, Wiederöffnung und prä-pandemischer Baseline, mit Fokus auf nichtlineare Dynamiken und Persistenzeffekte.</w:t>
      </w:r>
    </w:p>
    <w:p>
      <w:r>
        <w:rPr>
          <w:b/>
        </w:rPr>
        <w:t xml:space="preserve">Ergebnis: </w:t>
      </w:r>
      <w:r>
        <w:t>Während des Lockdowns stiegen Schadstoffkonzentrationen initial (z. B. PM2,5-Reduktion, dann Rebound), mit mehreren Übergangspunkten. Post-COVID-Luftqualitätsdynamiken blieben stärker mit Lockdown-Bedingungen synchronisiert als mit prä-COVID-Periode, was partielle Persistenz von Verbesserungen anzeigt. Nichtlineare Analyse zeigte veränderte Rekurrenzstrukturen.</w:t>
      </w:r>
    </w:p>
    <w:p>
      <w:r>
        <w:rPr>
          <w:b/>
          <w:sz w:val="19"/>
        </w:rPr>
        <w:t xml:space="preserve">Übertragbarkeit: </w:t>
      </w:r>
      <w:r>
        <w:rPr>
          <w:sz w:val="19"/>
        </w:rPr>
        <w:t>Delhi-Metropolregion (Tropen); Methodologie nichtlinearer dynamischer Systeme und Transitions-Analyse übertragbar</w:t>
      </w:r>
    </w:p>
    <w:p>
      <w:r>
        <w:rPr>
          <w:color w:val="5A7D3A"/>
          <w:sz w:val="18"/>
        </w:rPr>
        <w:t>https://pubmed.ncbi.nlm.nih.gov/42874085/</w:t>
      </w:r>
    </w:p>
    <w:p>
      <w:pPr>
        <w:pStyle w:val="Heading2"/>
      </w:pPr>
      <w:r>
        <w:t>Biomasse-Verbrennung und Feinstaub-Gesundheitsrisiken in Indien</w:t>
      </w:r>
    </w:p>
    <w:p>
      <w:r>
        <w:rPr>
          <w:i/>
          <w:color w:val="666666"/>
          <w:sz w:val="18"/>
        </w:rPr>
        <w:t>Bojjagani S et al.  ·  Environ Monit Assess  ·  14.10.2026  ·  PMID 42873321</w:t>
      </w:r>
    </w:p>
    <w:p>
      <w:r>
        <w:t>Feldstudie in Lucknow (Indien) während des Holika-Dahan-Festivals evaluierte PM2,5-Charakteristika, Quellbeiträge und zurechenbare Gesundheitsrisiken bei residentialen und kommerziellen Standorten in drei Phasen.</w:t>
      </w:r>
    </w:p>
    <w:p>
      <w:r>
        <w:rPr>
          <w:b/>
        </w:rPr>
        <w:t xml:space="preserve">Ergebnis: </w:t>
      </w:r>
      <w:r>
        <w:t>PM2,5-Konzentrationen während Holika Dahan stiegen um Faktor 2,0 (residentiell) bzw. 1,4 (kommerziell) vs. prä-Holika-Baseline. Kanzerogenes Risiko (CR) überschritt EPA-Grenzwerte an beiden Standorten; Peak während Holika-Nacht. Nicht-kanzerogener Hazard Index (HI) blieb unter EPA-Grenzen, aber mit beobachteten Spitzenwerten während des Events.</w:t>
      </w:r>
    </w:p>
    <w:p>
      <w:r>
        <w:rPr>
          <w:b/>
          <w:sz w:val="19"/>
        </w:rPr>
        <w:t xml:space="preserve">Übertragbarkeit: </w:t>
      </w:r>
      <w:r>
        <w:rPr>
          <w:sz w:val="19"/>
        </w:rPr>
        <w:t>Indien – nur die Expositions- und Risikobewertungsmethodik ist übertragbar; absolute Schwellen nicht</w:t>
      </w:r>
    </w:p>
    <w:p>
      <w:r>
        <w:rPr>
          <w:color w:val="5A7D3A"/>
          <w:sz w:val="18"/>
        </w:rPr>
        <w:t>https://pubmed.ncbi.nlm.nih.gov/42873321/</w:t>
      </w:r>
    </w:p>
    <w:p>
      <w:pPr>
        <w:pStyle w:val="Heading2"/>
      </w:pPr>
      <w:r>
        <w:t>Tabakbedingte Sterblichkeit und Krankheitslast in Indien 1990–2023</w:t>
      </w:r>
    </w:p>
    <w:p>
      <w:r>
        <w:rPr>
          <w:i/>
          <w:color w:val="666666"/>
          <w:sz w:val="18"/>
        </w:rPr>
        <w:t>Mandal C et al.  ·  BMJ Open  ·  30.09.2026  ·  PMID 42816088</w:t>
      </w:r>
    </w:p>
    <w:p>
      <w:r>
        <w:t>Deskriptive Analyse der Global Burden of Disease 2023 quantifizierte tabakattribuierbare Todesfälle und Behinderungen-bereinigte Lebensjahre (DALYs) in Indien für 1990 und 2023 nach Geschlecht, Alter und Expositionstyp.</w:t>
      </w:r>
    </w:p>
    <w:p>
      <w:r>
        <w:rPr>
          <w:b/>
        </w:rPr>
        <w:t xml:space="preserve">Ergebnis: </w:t>
      </w:r>
      <w:r>
        <w:t>Tabakattribuierbare Todesfälle stiegen um 54,7 % (von 745,74 tausend 1990 auf 1.153,98 tausend 2023), DALYs um 15,1 % (27,3 auf 31,4 Mio.). Age-standardisierte Raten sanken aber um 39,8 % (Todesfälle) und 47,8 % (DALYs). Rauchen führte 738,8 tausend Todesfälle 2023 an; Kautabak stieg um 153,7 %, Passivrauchen betraf 325,63 tausend Frauen.</w:t>
      </w:r>
    </w:p>
    <w:p>
      <w:r>
        <w:rPr>
          <w:b/>
          <w:sz w:val="19"/>
        </w:rPr>
        <w:t xml:space="preserve">Übertragbarkeit: </w:t>
      </w:r>
      <w:r>
        <w:rPr>
          <w:sz w:val="19"/>
        </w:rPr>
        <w:t>SüdAsien mit anderer Bevölkerungsstruktur; Analysemethodik und Prinzip der Multimorbidität relevant</w:t>
      </w:r>
    </w:p>
    <w:p>
      <w:r>
        <w:rPr>
          <w:color w:val="5A7D3A"/>
          <w:sz w:val="18"/>
        </w:rPr>
        <w:t>https://pubmed.ncbi.nlm.nih.gov/42816088/</w:t>
      </w:r>
    </w:p>
    <w:p>
      <w:pPr>
        <w:pStyle w:val="Heading2"/>
      </w:pPr>
      <w:r>
        <w:t>Luftverschmutzung und Asthmaentwicklung bei Kindern: Endotoxine als Modifikator</w:t>
      </w:r>
    </w:p>
    <w:p>
      <w:r>
        <w:rPr>
          <w:i/>
          <w:color w:val="666666"/>
          <w:sz w:val="18"/>
        </w:rPr>
        <w:t>Zhang L et al.  ·  Environ Res  ·  15.11.2026  ·  PMID 42805479</w:t>
      </w:r>
    </w:p>
    <w:p>
      <w:r>
        <w:t>Kanadas CHILD-Studie untersuchte, ob frühe Exposition gegenüber verkehrsbedingter Luftverschmutzung (NO2) die Asthmaentwicklung und rezidivierendes Keuchen im Kindesalter beeinflusst und wie Innenraum-Endotoxine diese Assoziation verändern.</w:t>
      </w:r>
    </w:p>
    <w:p>
      <w:r>
        <w:rPr>
          <w:b/>
        </w:rPr>
        <w:t xml:space="preserve">Ergebnis: </w:t>
      </w:r>
      <w:r>
        <w:t>NO2-Exposition war mit erhöhtem Asthmarisiko assoziiert (OR 1,36; 95%-KI 1,00–1,84) und rezidivierendem Keuchen (OR 1,34; 95%-KI 1,10–1,64) pro 10 ppb Anstieg. Die Assoziation war signifikant stärker bei hoher Endotoxin-Exposition (OR 3,25; 95%-KI 1,29–8,15), was auf eine Interaktion hindeutet.</w:t>
      </w:r>
    </w:p>
    <w:p>
      <w:r>
        <w:rPr>
          <w:b/>
          <w:sz w:val="19"/>
        </w:rPr>
        <w:t xml:space="preserve">Übertragbarkeit: </w:t>
      </w:r>
      <w:r>
        <w:rPr>
          <w:sz w:val="19"/>
        </w:rPr>
        <w:t>Kanada, gemäßigte Klimazone, vergleichbares Versorgungssystem; Methodik und Interaktionsprinzip relevant für Deutschland</w:t>
      </w:r>
    </w:p>
    <w:p>
      <w:r>
        <w:rPr>
          <w:color w:val="5A7D3A"/>
          <w:sz w:val="18"/>
        </w:rPr>
        <w:t>https://pubmed.ncbi.nlm.nih.gov/42805479/</w:t>
      </w:r>
    </w:p>
    <w:p>
      <w:pPr>
        <w:pStyle w:val="Heading1"/>
      </w:pPr>
      <w:r>
        <w:t>Aufgenommen am 17.10.2026</w:t>
      </w:r>
    </w:p>
    <w:p>
      <w:pPr>
        <w:pStyle w:val="Heading2"/>
      </w:pPr>
      <w:r>
        <w:t>Klimawandel und Gesundheit indigener Kinder – systematische Übersicht</w:t>
      </w:r>
    </w:p>
    <w:p>
      <w:r>
        <w:rPr>
          <w:i/>
          <w:color w:val="666666"/>
          <w:sz w:val="18"/>
        </w:rPr>
        <w:t>Turnbull JJ et al.  ·  Global Health  ·  30.09.2026  ·  PMID 42881393</w:t>
      </w:r>
    </w:p>
    <w:p>
      <w:r>
        <w:t>Systematische Übersicht (53 Studien) der globalen Evidenz zu klimabezogenen Gesundheitsfolgen bei indigenen Kindern und Schwangeren, mit Analyse von Expositions-Ergebnis-Mustern.</w:t>
      </w:r>
    </w:p>
    <w:p>
      <w:r>
        <w:rPr>
          <w:b/>
        </w:rPr>
        <w:t xml:space="preserve">Ergebnis: </w:t>
      </w:r>
      <w:r>
        <w:t>Fünf Hauptgesundheitsfolgen identifiziert: (1) psychosoziales und kulturelles Wohlbefinden, (2) Unterernährung, (3) Infektionskrankheiten, (4) perinatale Gesundheit, (5) Morbidität und Mortalität. Hitzeexposition und hydroklimatische Variabilität waren die häufigsten Klimafaktoren. Psychosoziales Wohlbefinden war das querschnittlichste Thema, verbunden mit allen anderen Gesundheitsbereichen.</w:t>
      </w:r>
    </w:p>
    <w:p>
      <w:r>
        <w:rPr>
          <w:b/>
          <w:sz w:val="19"/>
        </w:rPr>
        <w:t xml:space="preserve">Übertragbarkeit: </w:t>
      </w:r>
      <w:r>
        <w:rPr>
          <w:sz w:val="19"/>
        </w:rPr>
        <w:t>Globale, diverse Populationen; Methodische und konzeptuelle Übertragbarkeit für vulnerable Gruppen in Deutschland begrenzt.</w:t>
      </w:r>
    </w:p>
    <w:p>
      <w:r>
        <w:rPr>
          <w:color w:val="5A7D3A"/>
          <w:sz w:val="18"/>
        </w:rPr>
        <w:t>https://pubmed.ncbi.nlm.nih.gov/42881393/</w:t>
      </w:r>
    </w:p>
    <w:p>
      <w:pPr>
        <w:pStyle w:val="Heading2"/>
      </w:pPr>
      <w:r>
        <w:t>Hitzeschlag: Pathogenese und kritische Versorgung</w:t>
      </w:r>
    </w:p>
    <w:p>
      <w:r>
        <w:rPr>
          <w:i/>
          <w:color w:val="666666"/>
          <w:sz w:val="18"/>
        </w:rPr>
        <w:t>Huang Y et al.  ·  Zhonghua Wei Zhong Bing Ji Jiu Yi Xue  ·  Sept. 2026  ·  PMID 42875250</w:t>
      </w:r>
    </w:p>
    <w:p>
      <w:r>
        <w:t>Analyse der Pathophysiologie des Hitzeschlags als lebensbedrohliches Syndrom mit Körperkerntemperatur &gt;40°C und Multiorganversagen vor dem Hintergrund zunehmender Hitzeextremeereignisse.</w:t>
      </w:r>
    </w:p>
    <w:p>
      <w:r>
        <w:rPr>
          <w:b/>
        </w:rPr>
        <w:t xml:space="preserve">Ergebnis: </w:t>
      </w:r>
      <w:r>
        <w:t>Der Hitzeschlag wird als schwerste Form hitzebezogener Erkrankungen charakterisiert, mit hohen Raten schwerer Erkrankung und Mortalität. Die Studie beschreibt den Kontinuum-Charakter der Progression von milder Hitzeerkrankung zum kritischen Hitzeschlag mit Zentralnervensystem-Störungen (veränderte mentale Zustände, Anfälle, Koma) und Multiorganschäden.</w:t>
      </w:r>
    </w:p>
    <w:p>
      <w:r>
        <w:rPr>
          <w:b/>
          <w:sz w:val="19"/>
        </w:rPr>
        <w:t xml:space="preserve">Übertragbarkeit: </w:t>
      </w:r>
      <w:r>
        <w:rPr>
          <w:sz w:val="19"/>
        </w:rPr>
        <w:t>Pathophysiologische Konzepte gelten in gemäßigten Klimazonen; China, Grundlagen für klinische Entscheidungsfindung.</w:t>
      </w:r>
    </w:p>
    <w:p>
      <w:r>
        <w:rPr>
          <w:color w:val="5A7D3A"/>
          <w:sz w:val="18"/>
        </w:rPr>
        <w:t>https://pubmed.ncbi.nlm.nih.gov/42875250/</w:t>
      </w:r>
    </w:p>
    <w:p>
      <w:pPr>
        <w:pStyle w:val="Heading2"/>
      </w:pPr>
      <w:r>
        <w:t>Luftreinigung und Antibiotika-Resistenz in Innenräumen</w:t>
      </w:r>
    </w:p>
    <w:p>
      <w:r>
        <w:rPr>
          <w:i/>
          <w:color w:val="666666"/>
          <w:sz w:val="18"/>
        </w:rPr>
        <w:t>Mondéjar L et al.  ·  Front Public Health  ·  28.09.2026  ·  PMID 42865742</w:t>
      </w:r>
    </w:p>
    <w:p>
      <w:r>
        <w:t>Bewertung der Wirksamkeit portabler Luftreinigungssysteme auf kultivierbare Bakterien und Antibiotikaresistenzprofile in Büros (Valencia) und Schulklassen (Dublin) vor und nach Intervention.</w:t>
      </w:r>
    </w:p>
    <w:p>
      <w:r>
        <w:rPr>
          <w:b/>
        </w:rPr>
        <w:t xml:space="preserve">Ergebnis: </w:t>
      </w:r>
      <w:r>
        <w:t>In Büroräumen reduzierte sich die Anzahl airborne Isolate von 41 auf 5 nach Luftreinigung. Resistenzgene waren danach nicht nachweisbar. In Schulräumen sank die Zahl airborne Isolate von 102 auf 47 und die Resistenzprävalenz von 43 % auf 21 %. Oberflächenassoziierte Mikrobiota blieb stabiler. Die Luftreinigung reduzierte signifikant airborne bakterielle Besiedlung und Antibiotikaresistenzlast.</w:t>
      </w:r>
    </w:p>
    <w:p>
      <w:r>
        <w:rPr>
          <w:b/>
          <w:sz w:val="19"/>
        </w:rPr>
        <w:t xml:space="preserve">Übertragbarkeit: </w:t>
      </w:r>
      <w:r>
        <w:rPr>
          <w:sz w:val="19"/>
        </w:rPr>
        <w:t>Spanien und Irland, europäische Klimazonen; direkt anwendbar für deutsche Schulen und Büroräume.</w:t>
      </w:r>
    </w:p>
    <w:p>
      <w:r>
        <w:rPr>
          <w:color w:val="5A7D3A"/>
          <w:sz w:val="18"/>
        </w:rPr>
        <w:t>https://pubmed.ncbi.nlm.nih.gov/42865742/</w:t>
      </w:r>
    </w:p>
    <w:p>
      <w:pPr>
        <w:pStyle w:val="Heading2"/>
      </w:pPr>
      <w:r>
        <w:t>Stickstoffoxide und COVID-19-Fälle in Oklahoma</w:t>
      </w:r>
    </w:p>
    <w:p>
      <w:r>
        <w:rPr>
          <w:i/>
          <w:color w:val="666666"/>
          <w:sz w:val="18"/>
        </w:rPr>
        <w:t>Nair RR et al.  ·  J Infect Public Health  ·  09.10.2026  ·  PMID 42863447</w:t>
      </w:r>
    </w:p>
    <w:p>
      <w:r>
        <w:t>Analyse von Stickstoffdioxid (NO₂)-Konzentrationen und COVID-19-Fallzahlen auf County-Ebene in Oklahoma (2020–2022) mittels statistischer Regressionsmodelle zur Erfassung nichtlinearer Assoziationen.</w:t>
      </w:r>
    </w:p>
    <w:p>
      <w:r>
        <w:rPr>
          <w:b/>
        </w:rPr>
        <w:t xml:space="preserve">Ergebnis: </w:t>
      </w:r>
      <w:r>
        <w:t>Unter kontrollierten Modellen (Bevölkerungsdichte, County-Fläche, Anteil älterer Menschen) zeigte NO₂ die stärkste Korrelation mit COVID-19-Fallzahlen. NO₂ hatte die ausgeprägteste Assoziation bei Bevölkerungsdichte-Werten zwischen 48–75. Kohlenmonoxid zeigte signifikante negative lineare Assoziation. Population Density war der stärkste Confounder insgesamt.</w:t>
      </w:r>
    </w:p>
    <w:p>
      <w:r>
        <w:rPr>
          <w:b/>
          <w:sz w:val="19"/>
        </w:rPr>
        <w:t xml:space="preserve">Übertragbarkeit: </w:t>
      </w:r>
      <w:r>
        <w:rPr>
          <w:sz w:val="19"/>
        </w:rPr>
        <w:t>USA, Midwest; begrenzt auf regionale Luftqualität und Methodik, Bevölkerungsstruktur unterscheidet sich von Deutschland.</w:t>
      </w:r>
    </w:p>
    <w:p>
      <w:r>
        <w:rPr>
          <w:color w:val="5A7D3A"/>
          <w:sz w:val="18"/>
        </w:rPr>
        <w:t>https://pubmed.ncbi.nlm.nih.gov/42863447/</w:t>
      </w:r>
    </w:p>
    <w:p>
      <w:pPr>
        <w:pStyle w:val="Heading2"/>
      </w:pPr>
      <w:r>
        <w:t>Wasserqualität während COVID-19-Lockdown: Anthropopause-Effekte in Griechenland</w:t>
      </w:r>
    </w:p>
    <w:p>
      <w:r>
        <w:rPr>
          <w:i/>
          <w:color w:val="666666"/>
          <w:sz w:val="18"/>
        </w:rPr>
        <w:t>Theodoropoulou M et al.  ·  Environ Monit Assess  ·  06.10.2026  ·  PMID 42837016</w:t>
      </w:r>
    </w:p>
    <w:p>
      <w:r>
        <w:t>Analyse von Grundwasserqualität in einem Agrargebiet während COVID-19-Lockdown (2018–2022) mit Vergleich der Wasserbeschaffenheit vor, während und nach der Anthropopause.</w:t>
      </w:r>
    </w:p>
    <w:p>
      <w:r>
        <w:rPr>
          <w:b/>
        </w:rPr>
        <w:t xml:space="preserve">Ergebnis: </w:t>
      </w:r>
      <w:r>
        <w:t>Während der Anthropopause (Lockdown) zeigten sich signifikante Reduktionen von NO₃⁻, Cl⁻ und elektrischer Leitfähigkeit (EC), was auf verbesserte Grundwasserqualität hinweist. Nach Anstieg des Tourismus verschlechterte sich die Wasserqualität wieder. Die Ergebnisse zeigen, dass Reduktion menschlicher Aktivitäten positive Effekte auf natürliche Prozesse hat und unterstreichen die Notwendigkeit systematischer räumlich-zeitlicher Überwachung.</w:t>
      </w:r>
    </w:p>
    <w:p>
      <w:r>
        <w:rPr>
          <w:b/>
          <w:sz w:val="19"/>
        </w:rPr>
        <w:t xml:space="preserve">Übertragbarkeit: </w:t>
      </w:r>
      <w:r>
        <w:rPr>
          <w:sz w:val="19"/>
        </w:rPr>
        <w:t>Südeuropa, Mittelmeerregion; Konzepte für Umweltüberwachung und Wassergüte-Management übertragbar.</w:t>
      </w:r>
    </w:p>
    <w:p>
      <w:r>
        <w:rPr>
          <w:color w:val="5A7D3A"/>
          <w:sz w:val="18"/>
        </w:rPr>
        <w:t>https://pubmed.ncbi.nlm.nih.gov/42837016/</w:t>
      </w:r>
    </w:p>
    <w:p>
      <w:pPr>
        <w:pStyle w:val="Heading2"/>
      </w:pPr>
      <w:r>
        <w:t>Schulische Gesundheitsschutzstrategien bei Hitze- und Waldbrandextremen</w:t>
      </w:r>
    </w:p>
    <w:p>
      <w:r>
        <w:rPr>
          <w:i/>
          <w:color w:val="666666"/>
          <w:sz w:val="18"/>
        </w:rPr>
        <w:t>Sager T  ·  NASN Sch Nurse  ·  29.09.2026  ·  PMID 42808579</w:t>
      </w:r>
    </w:p>
    <w:p>
      <w:r>
        <w:t>Qualitative Analyse der Rolle von Schulkrankenpflegefachpersonen in der Anpassung von Schulen an zunehmende Hitze- und Waldbrandereignisse durch Notfallplanung, Risikokoordinierung und Schutzmaßnahmen.</w:t>
      </w:r>
    </w:p>
    <w:p>
      <w:r>
        <w:rPr>
          <w:b/>
        </w:rPr>
        <w:t xml:space="preserve">Ergebnis: </w:t>
      </w:r>
      <w:r>
        <w:t>Schulkrankenpflegefachpersonen sind als Schnittstelle zwischen Gesundheitswesen und Bildung positioniert, um Schulen bei der Bewältigung von Hitze- und Wildfeuer-Expositionen zu unterstützen. Besonders gefährdet sind Schüler mit Asthma oder chronischen Erkrankungen sowie Personal mit bestehenden Gesundheitsproblemen. Ein Preparedness-Response-Recovery-Rahmen wird empfohlen.</w:t>
      </w:r>
    </w:p>
    <w:p>
      <w:r>
        <w:rPr>
          <w:b/>
          <w:sz w:val="19"/>
        </w:rPr>
        <w:t xml:space="preserve">Übertragbarkeit: </w:t>
      </w:r>
      <w:r>
        <w:rPr>
          <w:sz w:val="19"/>
        </w:rPr>
        <w:t>USA, Klimazone und Schulstruktur teilweise übertragbar; Konzepte für deutsche Schulen adaptierbar.</w:t>
      </w:r>
    </w:p>
    <w:p>
      <w:r>
        <w:rPr>
          <w:color w:val="5A7D3A"/>
          <w:sz w:val="18"/>
        </w:rPr>
        <w:t>https://pubmed.ncbi.nlm.nih.gov/42808579/</w:t>
      </w:r>
    </w:p>
    <w:p>
      <w:pPr>
        <w:pStyle w:val="Heading1"/>
      </w:pPr>
      <w:r>
        <w:t>Aufgenommen am 16.10.2026</w:t>
      </w:r>
    </w:p>
    <w:p>
      <w:pPr>
        <w:pStyle w:val="Heading2"/>
      </w:pPr>
      <w:r>
        <w:t>Validierung von Luftqualitäts-Frühwarnsystemen in Südostasien</w:t>
      </w:r>
    </w:p>
    <w:p>
      <w:r>
        <w:rPr>
          <w:i/>
          <w:color w:val="666666"/>
          <w:sz w:val="18"/>
        </w:rPr>
        <w:t>Mahawar C et al.  ·  Front Public Health  ·  30.09.2026  ·  PMID 42877354</w:t>
      </w:r>
    </w:p>
    <w:p>
      <w:r>
        <w:t>Systematischer Review evaluierte die Vorhersagegenauigkeit verfügbarer Luftqualitäts-Frühwarnsysteme in 14 Studien aus Indien, Bangladesch und Thailand.</w:t>
      </w:r>
    </w:p>
    <w:p>
      <w:r>
        <w:rPr>
          <w:b/>
        </w:rPr>
        <w:t xml:space="preserve">Ergebnis: </w:t>
      </w:r>
      <w:r>
        <w:t>Hybrid-Deep-Learning-Modelle zeigten niedrigste RMSE (0,84–4,61 μg/m³) und höchste erklärte Varianz (R² bis 0,998). Machine-Learning erreichte bis 98,34% kategoriale Genauigkeit. Allerdings: hohes Bias-Risiko durch unzureichende externe Validierung und Overfitting in den meisten Studien.</w:t>
      </w:r>
    </w:p>
    <w:p>
      <w:r>
        <w:rPr>
          <w:b/>
          <w:sz w:val="19"/>
        </w:rPr>
        <w:t xml:space="preserve">Übertragbarkeit: </w:t>
      </w:r>
      <w:r>
        <w:rPr>
          <w:sz w:val="19"/>
        </w:rPr>
        <w:t>Nur Methodik übertragbar: Südasien hat andere Anpassungskapazität und Temperaturschwellen; externe Validierung essentiell für Systemzuverlässigkeit.</w:t>
      </w:r>
    </w:p>
    <w:p>
      <w:r>
        <w:rPr>
          <w:color w:val="5A7D3A"/>
          <w:sz w:val="18"/>
        </w:rPr>
        <w:t>https://pubmed.ncbi.nlm.nih.gov/42877354/</w:t>
      </w:r>
    </w:p>
    <w:p>
      <w:pPr>
        <w:pStyle w:val="Heading2"/>
      </w:pPr>
      <w:r>
        <w:t>Hitzeadaptation bei Großsportevents: Koordination und Frühwarnsysteme</w:t>
      </w:r>
    </w:p>
    <w:p>
      <w:r>
        <w:rPr>
          <w:i/>
          <w:color w:val="666666"/>
          <w:sz w:val="18"/>
        </w:rPr>
        <w:t>Zhang J et al.  ·  Front Public Health  ·  30.09.2026  ·  PMID 42877216</w:t>
      </w:r>
    </w:p>
    <w:p>
      <w:r>
        <w:t>Mathematisches Spieltheorie-Modell untersuchte optimale Koordination und Finanzierung von Hitzerisiko-Minderungsmaßnahmen zwischen Behörden, Veranstaltern und Teams.</w:t>
      </w:r>
    </w:p>
    <w:p>
      <w:r>
        <w:rPr>
          <w:b/>
        </w:rPr>
        <w:t xml:space="preserve">Ergebnis: </w:t>
      </w:r>
      <w:r>
        <w:t>Kooperation senkte modellierte Soziallast um 21,9% gegenüber Nash-Gleichgewicht und um 23,1% gegenüber Hierarchie-Lösung. Spitzenwert des residualen Hitzerisikos fiel um 28,0–28,7%. Effektives Vorwarnfenster lag bei 2,2–2,6 Zeiteinheiten.</w:t>
      </w:r>
    </w:p>
    <w:p>
      <w:r>
        <w:rPr>
          <w:b/>
          <w:sz w:val="19"/>
        </w:rPr>
        <w:t xml:space="preserve">Übertragbarkeit: </w:t>
      </w:r>
      <w:r>
        <w:rPr>
          <w:sz w:val="19"/>
        </w:rPr>
        <w:t>Modellstudie China: Methodik auf Großveranstaltungen weltweit anwendbar, Koordinationsprinzipien klimazonenunabhängig.</w:t>
      </w:r>
    </w:p>
    <w:p>
      <w:r>
        <w:rPr>
          <w:color w:val="5A7D3A"/>
          <w:sz w:val="18"/>
        </w:rPr>
        <w:t>https://pubmed.ncbi.nlm.nih.gov/42877216/</w:t>
      </w:r>
    </w:p>
    <w:p>
      <w:pPr>
        <w:pStyle w:val="Heading2"/>
      </w:pPr>
      <w:r>
        <w:t>Schulungsbedarf für Planetary Health in Italien</w:t>
      </w:r>
    </w:p>
    <w:p>
      <w:r>
        <w:rPr>
          <w:i/>
          <w:color w:val="666666"/>
          <w:sz w:val="18"/>
        </w:rPr>
        <w:t>Panariello F et al.  ·  Front Public Health  ·  30.09.2026  ·  PMID 42876801</w:t>
      </w:r>
    </w:p>
    <w:p>
      <w:r>
        <w:t>Explorative Befragung von 14 italienischen Institutionen (66,7% Antwortquote) zu Fortbildungsbedarfen im Bereich Umwelt- und Gesundheit.</w:t>
      </w:r>
    </w:p>
    <w:p>
      <w:r>
        <w:rPr>
          <w:b/>
        </w:rPr>
        <w:t xml:space="preserve">Ergebnis: </w:t>
      </w:r>
      <w:r>
        <w:t>Hauptbedarfe waren: Verständnis für Pollutionseffekte auf Gesundheit (78,6%), Stakeholder-Engagement (64,3%), fortgeschrittene Umweltepidemiologie (57,1%). Bevorzugte Formate: Seminare (78,6%), spezialisierte Kurzkurse (71,4%), Online-Lernen (50%).</w:t>
      </w:r>
    </w:p>
    <w:p>
      <w:r>
        <w:rPr>
          <w:b/>
          <w:sz w:val="19"/>
        </w:rPr>
        <w:t xml:space="preserve">Übertragbarkeit: </w:t>
      </w:r>
      <w:r>
        <w:rPr>
          <w:sz w:val="19"/>
        </w:rPr>
        <w:t>Italien: Direkter Bezug zu deutschsprachigen Institutionen, EU-Kontext, Prioritäten für Ausbildungsstrukturen übertragbar.</w:t>
      </w:r>
    </w:p>
    <w:p>
      <w:r>
        <w:rPr>
          <w:color w:val="5A7D3A"/>
          <w:sz w:val="18"/>
        </w:rPr>
        <w:t>https://pubmed.ncbi.nlm.nih.gov/42876801/</w:t>
      </w:r>
    </w:p>
    <w:p>
      <w:pPr>
        <w:pStyle w:val="Heading2"/>
      </w:pPr>
      <w:r>
        <w:t>Temperaturvariabilität und Zahngesundheit in der EU</w:t>
      </w:r>
    </w:p>
    <w:p>
      <w:r>
        <w:rPr>
          <w:i/>
          <w:color w:val="666666"/>
          <w:sz w:val="18"/>
        </w:rPr>
        <w:t>Lupita C et al.  ·  Front Public Health  ·  30.09.2026  ·  PMID 42876755</w:t>
      </w:r>
    </w:p>
    <w:p>
      <w:r>
        <w:t>Ökologische Panel-Analyse in 27 EU-Ländern 2016–2023 untersuchte Assoziationen zwischen Jahrestemperatur, Hitzetagen und Karies-, Parodontal- und Zahnversorgungsergebnissen.</w:t>
      </w:r>
    </w:p>
    <w:p>
      <w:r>
        <w:rPr>
          <w:b/>
        </w:rPr>
        <w:t xml:space="preserve">Ergebnis: </w:t>
      </w:r>
      <w:r>
        <w:t>Weder mittlere Jahrestemperatur noch Extremhitzeereignisse waren signifikant mit den Outcome-Variablen assoziiert (R² 0,032–0,056). Wild-Cluster-Bootstrap-Tests bestätigten Nullassoziationen auf 5%-Niveau. Nicht-lineare und Interaktionsterme waren ebenfalls nicht signifikant.</w:t>
      </w:r>
    </w:p>
    <w:p>
      <w:r>
        <w:rPr>
          <w:b/>
          <w:sz w:val="19"/>
        </w:rPr>
        <w:t xml:space="preserve">Übertragbarkeit: </w:t>
      </w:r>
      <w:r>
        <w:rPr>
          <w:sz w:val="19"/>
        </w:rPr>
        <w:t>27 EU-Länder inklusive Deutschland: Zeigt Grenzen kurzfristiger Klimavariabilität für Zahngesundheit auf; längere Paneldaten und räumlich aufgelöste Exposuremaße nötig.</w:t>
      </w:r>
    </w:p>
    <w:p>
      <w:r>
        <w:rPr>
          <w:color w:val="5A7D3A"/>
          <w:sz w:val="18"/>
        </w:rPr>
        <w:t>https://pubmed.ncbi.nlm.nih.gov/42876755/</w:t>
      </w:r>
    </w:p>
    <w:p>
      <w:pPr>
        <w:pStyle w:val="Heading2"/>
      </w:pPr>
      <w:r>
        <w:t>Verkehrsemissionen und Neuroinflammation im Vordemenzstadium</w:t>
      </w:r>
    </w:p>
    <w:p>
      <w:r>
        <w:rPr>
          <w:i/>
          <w:color w:val="666666"/>
          <w:sz w:val="18"/>
        </w:rPr>
        <w:t>Vilor-Tejedor N et al.  ·  Alzheimers Dement  ·  Okt. 2026  ·  PMID 42872554</w:t>
      </w:r>
    </w:p>
    <w:p>
      <w:r>
        <w:t>Longitudinale Kohorte mit 226 kognitiv Unauffälligen untersuchte über 3 Jahre die Assoziationen zwischen NO2-, PM10- und PM2.5-Exposition und zerebrospinalen Biomarkern.</w:t>
      </w:r>
    </w:p>
    <w:p>
      <w:r>
        <w:rPr>
          <w:b/>
        </w:rPr>
        <w:t xml:space="preserve">Ergebnis: </w:t>
      </w:r>
      <w:r>
        <w:t>Höhere Luftverschmutzung war mit longitudinalen Anstiegen von Glial Fibrillary Acidic Protein (GFAP) und IL-6 assoziiert, primär bei Frauen. GFAP vermittelte teilweise die Assoziation zwischen Schadstoffexposition und Verschlechterung der exekutiven Funktion.</w:t>
      </w:r>
    </w:p>
    <w:p>
      <w:r>
        <w:rPr>
          <w:b/>
          <w:sz w:val="19"/>
        </w:rPr>
        <w:t xml:space="preserve">Übertragbarkeit: </w:t>
      </w:r>
      <w:r>
        <w:rPr>
          <w:sz w:val="19"/>
        </w:rPr>
        <w:t>Spanien/Niederlande: Barcelona-Kohorte, europäische Methodik und Klimazone, technisch hochwertig.</w:t>
      </w:r>
    </w:p>
    <w:p>
      <w:r>
        <w:rPr>
          <w:color w:val="5A7D3A"/>
          <w:sz w:val="18"/>
        </w:rPr>
        <w:t>https://pubmed.ncbi.nlm.nih.gov/42872554/</w:t>
      </w:r>
    </w:p>
    <w:p>
      <w:pPr>
        <w:pStyle w:val="Heading2"/>
      </w:pPr>
      <w:r>
        <w:t>Luftverschmutzung und Atemwegserkrankungen im Säuglingsalter</w:t>
      </w:r>
    </w:p>
    <w:p>
      <w:r>
        <w:rPr>
          <w:i/>
          <w:color w:val="666666"/>
          <w:sz w:val="18"/>
        </w:rPr>
        <w:t>Gómez-Olarte S et al.  ·  Environ Pollut  ·  15.11.2026  ·  PMID 42680050</w:t>
      </w:r>
    </w:p>
    <w:p>
      <w:r>
        <w:t>Studie untersuchte in 606 Einjährigen die Assoziation zwischen PM2.5-, PM10- und NO2-Exposition und Bronchitis sowie Entzündungsmarker.</w:t>
      </w:r>
    </w:p>
    <w:p>
      <w:r>
        <w:rPr>
          <w:b/>
        </w:rPr>
        <w:t xml:space="preserve">Ergebnis: </w:t>
      </w:r>
      <w:r>
        <w:t>PM2.5-Exposition war bei Jungen mit erhöhter Bronchitis-Odds assoziiert (aOR 1,50, 95%-KI 1,02–2,23) und bei beiden Geschlechtern mit erhöhten IL-8-Konzentrationen verbunden (Jungen +23,8%, Mädchen +31,9%). Bei hohen Schadstoffkonzentrationen (≥60. Perzentil) zeigten sich positive Assoziationen mit IL-8 und TNF-α.</w:t>
      </w:r>
    </w:p>
    <w:p>
      <w:r>
        <w:rPr>
          <w:b/>
          <w:sz w:val="19"/>
        </w:rPr>
        <w:t xml:space="preserve">Übertragbarkeit: </w:t>
      </w:r>
      <w:r>
        <w:rPr>
          <w:sz w:val="19"/>
        </w:rPr>
        <w:t>Deutschland: Studie aus Leipzig, vergleichbare gemäßigte Klimazone und Versorgungsstruktur.</w:t>
      </w:r>
    </w:p>
    <w:p>
      <w:r>
        <w:rPr>
          <w:color w:val="5A7D3A"/>
          <w:sz w:val="18"/>
        </w:rPr>
        <w:t>https://pubmed.ncbi.nlm.nih.gov/42680050/</w:t>
      </w:r>
    </w:p>
    <w:p>
      <w:pPr>
        <w:pStyle w:val="Heading1"/>
      </w:pPr>
      <w:r>
        <w:t>Aufgenommen am 15.10.2026</w:t>
      </w:r>
    </w:p>
    <w:p>
      <w:pPr>
        <w:pStyle w:val="Heading2"/>
      </w:pPr>
      <w:r>
        <w:t>Laktat als Marker für Gerinnungskomplikationen bei Hitzschlag</w:t>
      </w:r>
    </w:p>
    <w:p>
      <w:r>
        <w:rPr>
          <w:i/>
          <w:color w:val="666666"/>
          <w:sz w:val="18"/>
        </w:rPr>
        <w:t>Liu F et al.  ·  Zhonghua Wei Zhong Bing Ji Jiu Yi Xue  ·  Sept. 2026  ·  PMID 42875244</w:t>
      </w:r>
    </w:p>
    <w:p>
      <w:r>
        <w:t>Multicenter-Kohortenstudie mit 305 Hitzschlag-Patienten untersuchte die Beziehung zwischen Serumlaktat und disseminierter intravaskulärer Gerinnung (DIC).</w:t>
      </w:r>
    </w:p>
    <w:p>
      <w:r>
        <w:rPr>
          <w:b/>
        </w:rPr>
        <w:t xml:space="preserve">Ergebnis: </w:t>
      </w:r>
      <w:r>
        <w:t>Erhöhte Laktatspiegel waren unabhängig mit erhöhtem DIC-Risiko assoziiert (OR 1,815; 95%-KI 1,494–2,203; p &lt; 0,001). Das Laktat-basierte Vorhersagemodell zeigte exzellente Diskriminationsfähigkeit (AUC 0,901; 95%-KI 0,860–0,941) mit Sensitivität 85,6 % und Spezifität 81,6 %. Laktat vermittelte 16,29 % der Beziehung zwischen Körpertemperatur und DIC.</w:t>
      </w:r>
    </w:p>
    <w:p>
      <w:r>
        <w:rPr>
          <w:b/>
          <w:sz w:val="19"/>
        </w:rPr>
        <w:t xml:space="preserve">Übertragbarkeit: </w:t>
      </w:r>
      <w:r>
        <w:rPr>
          <w:sz w:val="19"/>
        </w:rPr>
        <w:t>China; klinisch-intensivmedizinische Perspektive auf Hitzeschlag-Pathophysiologie übertragbar</w:t>
      </w:r>
    </w:p>
    <w:p>
      <w:r>
        <w:rPr>
          <w:color w:val="5A7D3A"/>
          <w:sz w:val="18"/>
        </w:rPr>
        <w:t>https://pubmed.ncbi.nlm.nih.gov/42875244/</w:t>
      </w:r>
    </w:p>
    <w:p>
      <w:pPr>
        <w:pStyle w:val="Heading2"/>
      </w:pPr>
      <w:r>
        <w:t>Von Fledermäusen übertragene Zoonosen: Klimawandel und Spillover-Risiken</w:t>
      </w:r>
    </w:p>
    <w:p>
      <w:r>
        <w:rPr>
          <w:i/>
          <w:color w:val="666666"/>
          <w:sz w:val="18"/>
        </w:rPr>
        <w:t>Stanhope J et al.  ·  BMJ  ·  14.10.2026  ·  PMID 42875048</w:t>
      </w:r>
    </w:p>
    <w:p>
      <w:r>
        <w:t>Narrative Review der evidenzgestützten Übertragungswege, klinischen Auswirkungen und Präventionsstrategien für Fledermaus-assoziierte Pathogene (Ebola, Marburg, Nipah, Hendra, Tollwut, australisches Lyssavirus, Histoplasma).</w:t>
      </w:r>
    </w:p>
    <w:p>
      <w:r>
        <w:rPr>
          <w:b/>
        </w:rPr>
        <w:t xml:space="preserve">Ergebnis: </w:t>
      </w:r>
      <w:r>
        <w:t>Klimawandel und Biodiversitätsverlust treiben das Spillover-Risiko von sieben bedeutenden human-pathogenen Erregern. Überlebende berichten anhaltende neurologische und neuropsychiatrische Langzeitfolgen. Präventionsstrategien umfassen ökologische Stewardship, Reduktion der Exposition von Mensch und Haustieren, Isolation Infizierter und Vakzination; für Histoplasma und Ebolavirus sind nun spezifische Therapeutika verfügbar.</w:t>
      </w:r>
    </w:p>
    <w:p>
      <w:r>
        <w:rPr>
          <w:b/>
          <w:sz w:val="19"/>
        </w:rPr>
        <w:t xml:space="preserve">Übertragbarkeit: </w:t>
      </w:r>
      <w:r>
        <w:rPr>
          <w:sz w:val="19"/>
        </w:rPr>
        <w:t>Review; Prinzipien der Zoonose-Prävention und Klimaadaptation klimazonenübergreifend relevant</w:t>
      </w:r>
    </w:p>
    <w:p>
      <w:r>
        <w:rPr>
          <w:color w:val="5A7D3A"/>
          <w:sz w:val="18"/>
        </w:rPr>
        <w:t>https://pubmed.ncbi.nlm.nih.gov/42875048/</w:t>
      </w:r>
    </w:p>
    <w:p>
      <w:pPr>
        <w:pStyle w:val="Heading2"/>
      </w:pPr>
      <w:r>
        <w:t>Globale Coexposition gegenüber Hitzewellen und Waldbrandrauch nimmt zu</w:t>
      </w:r>
    </w:p>
    <w:p>
      <w:r>
        <w:rPr>
          <w:i/>
          <w:color w:val="666666"/>
          <w:sz w:val="18"/>
        </w:rPr>
        <w:t>Wu Y et al.  ·  Sci Adv  ·  16.10.2026  ·  PMID 42873846</w:t>
      </w:r>
    </w:p>
    <w:p>
      <w:r>
        <w:t>Die Studie quantifiziert die weltweite Bevölkerung, die gleichzeitig Hitzewellen und Luftverschmutzung aus Waldbränden ausgesetzt ist, über den Zeitraum 2000–2019.</w:t>
      </w:r>
    </w:p>
    <w:p>
      <w:r>
        <w:rPr>
          <w:b/>
        </w:rPr>
        <w:t xml:space="preserve">Ergebnis: </w:t>
      </w:r>
      <w:r>
        <w:t>52,4 % der bevölkerten Gebiete und 55,9 % der Weltbevölkerung erlebten steigende Coexposition. Im Durchschnitt waren 916 Millionen Menschen pro Jahr mindestens einen Tag betroffen, mit Anstieg um 287 Millionen pro Jahrzehnt. Die durchschnittliche Expositionsdauer pro Person stieg von 1,0 Tagen (2000–2009) auf 1,7 Tage (2010–2019). Länder mit niedrigem Entwicklungsindex waren am stärksten betroffen.</w:t>
      </w:r>
    </w:p>
    <w:p>
      <w:r>
        <w:rPr>
          <w:b/>
          <w:sz w:val="19"/>
        </w:rPr>
        <w:t xml:space="preserve">Übertragbarkeit: </w:t>
      </w:r>
      <w:r>
        <w:rPr>
          <w:sz w:val="19"/>
        </w:rPr>
        <w:t>Methodik zur Quantifizierung kombinierter Extremwetter-Expositionen; globale Trends übertragbar auf Risikomodellierung</w:t>
      </w:r>
    </w:p>
    <w:p>
      <w:r>
        <w:rPr>
          <w:color w:val="5A7D3A"/>
          <w:sz w:val="18"/>
        </w:rPr>
        <w:t>https://pubmed.ncbi.nlm.nih.gov/42873846/</w:t>
      </w:r>
    </w:p>
    <w:p>
      <w:pPr>
        <w:pStyle w:val="Heading2"/>
      </w:pPr>
      <w:r>
        <w:t>Klimakrise und psychische Gesundheit: Unsicherheit als Treiber von Angststörungen</w:t>
      </w:r>
    </w:p>
    <w:p>
      <w:r>
        <w:rPr>
          <w:i/>
          <w:color w:val="666666"/>
          <w:sz w:val="18"/>
        </w:rPr>
        <w:t>Zysset A et al.  ·  Front Public Health  ·  29.09.2026  ·  PMID 42871219</w:t>
      </w:r>
    </w:p>
    <w:p>
      <w:r>
        <w:t>Längsschnitt-Studie an Schweizer Studierenden (N = 1.001) untersuchte die Assoziation zwischen Unsicherheit (persönlich und klimabezogen) und Angstsymptomen post-COVID.</w:t>
      </w:r>
    </w:p>
    <w:p>
      <w:r>
        <w:rPr>
          <w:b/>
        </w:rPr>
        <w:t xml:space="preserve">Ergebnis: </w:t>
      </w:r>
      <w:r>
        <w:t>Unsicherheit war positiv mit Angstsymptomen assoziiert (β = 0,50; 95%-KI 0,44–0,56). Selbstwirksamkeit (β = −0,22; 95%-KI −0,29, −0,15) und Resilienz (β = −0,08; 95%-KI −0,29, −0,03) waren negativ assoziiert. Das Modell erklärte 39 % der Angstsymptome. Angstniveaus zeigten post-COVID Plateau, nicht Rückgang.</w:t>
      </w:r>
    </w:p>
    <w:p>
      <w:r>
        <w:rPr>
          <w:b/>
          <w:sz w:val="19"/>
        </w:rPr>
        <w:t xml:space="preserve">Übertragbarkeit: </w:t>
      </w:r>
      <w:r>
        <w:rPr>
          <w:sz w:val="19"/>
        </w:rPr>
        <w:t>Schweiz; gemäßigte Klimazone; Unsicherheit als psychischer Klima-Krankheitsmechanismus</w:t>
      </w:r>
    </w:p>
    <w:p>
      <w:r>
        <w:rPr>
          <w:color w:val="5A7D3A"/>
          <w:sz w:val="18"/>
        </w:rPr>
        <w:t>https://pubmed.ncbi.nlm.nih.gov/42871219/</w:t>
      </w:r>
    </w:p>
    <w:p>
      <w:pPr>
        <w:pStyle w:val="Heading2"/>
      </w:pPr>
      <w:r>
        <w:t>Automatisierte Pollenüberwachung für Asthma-Vorhersage</w:t>
      </w:r>
    </w:p>
    <w:p>
      <w:r>
        <w:rPr>
          <w:i/>
          <w:color w:val="666666"/>
          <w:sz w:val="18"/>
        </w:rPr>
        <w:t>Lampugnani ER et al.  ·  Environ Monit Assess  ·  13.10.2026  ·  PMID 42870105</w:t>
      </w:r>
    </w:p>
    <w:p>
      <w:r>
        <w:t>Validierungsstudie der automatisierten Pollenmesskammer SwisensPoleno Mars gegen manuelle Burkard-Methode in Melbourne zur Vorhersage von Gewitter-assoziiertem Asthma.</w:t>
      </w:r>
    </w:p>
    <w:p>
      <w:r>
        <w:rPr>
          <w:b/>
        </w:rPr>
        <w:t xml:space="preserve">Ergebnis: </w:t>
      </w:r>
      <w:r>
        <w:t>Starke Korrelation für Gesamtpollen (R² = 0,92), Gräser (R² = 0,92) und Zypresse (R² = 0,86). Gräserpollen, zentral für Gewitter-Asthma-Prognosen, zeigten besonders hohe Übereinstimmung und konsistente Klassifizierung in operative Risikoschwellen. Das automatisierte System reproduzierte erwartete Tagesrhythmen.</w:t>
      </w:r>
    </w:p>
    <w:p>
      <w:r>
        <w:rPr>
          <w:b/>
          <w:sz w:val="19"/>
        </w:rPr>
        <w:t xml:space="preserve">Übertragbarkeit: </w:t>
      </w:r>
      <w:r>
        <w:rPr>
          <w:sz w:val="19"/>
        </w:rPr>
        <w:t>Australien; Methodik und Schwellwerte nicht auf gemäßigte Zone übertragbar, aber Technik relevant</w:t>
      </w:r>
    </w:p>
    <w:p>
      <w:r>
        <w:rPr>
          <w:color w:val="5A7D3A"/>
          <w:sz w:val="18"/>
        </w:rPr>
        <w:t>https://pubmed.ncbi.nlm.nih.gov/42870105/</w:t>
      </w:r>
    </w:p>
    <w:p>
      <w:pPr>
        <w:pStyle w:val="Heading2"/>
      </w:pPr>
      <w:r>
        <w:t>Luftgestützte Mikroplastik: Exposition, Quellen und Gesundheitsrisiken</w:t>
      </w:r>
    </w:p>
    <w:p>
      <w:r>
        <w:rPr>
          <w:i/>
          <w:color w:val="666666"/>
          <w:sz w:val="18"/>
        </w:rPr>
        <w:t>Cao L et al.  ·  Environ Monit Assess  ·  07.10.2026  ·  PMID 42844460</w:t>
      </w:r>
    </w:p>
    <w:p>
      <w:r>
        <w:t>Systematische Review von 161 Publikationen (2021–2025) zur physikalischen Charakterisierung, Verteilung, menschlichen Exposition und Toxikologie von atmosphärischen Mikroplastiken.</w:t>
      </w:r>
    </w:p>
    <w:p>
      <w:r>
        <w:rPr>
          <w:b/>
        </w:rPr>
        <w:t xml:space="preserve">Ergebnis: </w:t>
      </w:r>
      <w:r>
        <w:t>Inhalation und dermale Exposition als Hauptaufnahmepfade; Partikel &lt; 10 μm penetrieren Atemwegsbarrieren. Systematische Diskrepanz von Faktor 10–100 zwischen aktiver und passiver Probenahme. Indoorkonzentrationen stark abhängig von Lüftung und lokalisierten Punktquellen. Molekulare Wirkmechanismen: oxidativer Stress und Entzündungsantwort; Langzeitvergiftungsmechanismen noch unklar.</w:t>
      </w:r>
    </w:p>
    <w:p>
      <w:r>
        <w:rPr>
          <w:b/>
          <w:sz w:val="19"/>
        </w:rPr>
        <w:t xml:space="preserve">Übertragbarkeit: </w:t>
      </w:r>
      <w:r>
        <w:rPr>
          <w:sz w:val="19"/>
        </w:rPr>
        <w:t>Klimaunabhängige Umweltexposition; Methodik-Standardisierung global relevant</w:t>
      </w:r>
    </w:p>
    <w:p>
      <w:r>
        <w:rPr>
          <w:color w:val="5A7D3A"/>
          <w:sz w:val="18"/>
        </w:rPr>
        <w:t>https://pubmed.ncbi.nlm.nih.gov/42844460/</w:t>
      </w:r>
    </w:p>
    <w:p>
      <w:pPr>
        <w:pStyle w:val="Heading1"/>
      </w:pPr>
      <w:r>
        <w:t>Aufgenommen am 14.10.2026</w:t>
      </w:r>
    </w:p>
    <w:p>
      <w:pPr>
        <w:pStyle w:val="Heading2"/>
      </w:pPr>
      <w:r>
        <w:t>Temperaturextreme und Autoimmunerkrankungen</w:t>
      </w:r>
    </w:p>
    <w:p>
      <w:r>
        <w:rPr>
          <w:i/>
          <w:color w:val="666666"/>
          <w:sz w:val="18"/>
        </w:rPr>
        <w:t>Robichon K et al.  ·  Semin Immunopathol  ·  13.10.2026  ·  PMID 42867511</w:t>
      </w:r>
    </w:p>
    <w:p>
      <w:r>
        <w:t>Narrative Übersichtsarbeit über die biologischen Mechanismen, durch die Hitze und Kälte die Entwicklung und den Krankheitsverlauf von Autoimmunerkrankungen beeinflussen.</w:t>
      </w:r>
    </w:p>
    <w:p>
      <w:r>
        <w:rPr>
          <w:b/>
        </w:rPr>
        <w:t xml:space="preserve">Ergebnis: </w:t>
      </w:r>
      <w:r>
        <w:t>Hitze und Kälte verändern Immunzellfunktion durch Effekte auf Zellsignalisierung, Zytokinproduktion und Barrierenintegrität. Evidenz zeigt saisonale/regionale Temperaturmuster mit Raten von Autoimmunerkrankungen assoziiert; Hitzewellen verschärfen Fatigue und neurologische Symptome bei Multipler Sklerose, Kältephasen triggern Gefäßverengung und Gewebenekrose bei systemischer Sklerose.</w:t>
      </w:r>
    </w:p>
    <w:p>
      <w:r>
        <w:rPr>
          <w:b/>
          <w:sz w:val="19"/>
        </w:rPr>
        <w:t xml:space="preserve">Übertragbarkeit: </w:t>
      </w:r>
      <w:r>
        <w:rPr>
          <w:sz w:val="19"/>
        </w:rPr>
        <w:t>Mitteleuropäische Klimazone, mechanismusbasierte Prinzipien unabhängig von Temperaturschwellen</w:t>
      </w:r>
    </w:p>
    <w:p>
      <w:r>
        <w:rPr>
          <w:color w:val="5A7D3A"/>
          <w:sz w:val="18"/>
        </w:rPr>
        <w:t>https://pubmed.ncbi.nlm.nih.gov/42867511/</w:t>
      </w:r>
    </w:p>
    <w:p>
      <w:pPr>
        <w:pStyle w:val="Heading2"/>
      </w:pPr>
      <w:r>
        <w:t>Kyasanur-Waldkrankheit: Klimawandel und Zoonose-Risiko in Europa</w:t>
      </w:r>
    </w:p>
    <w:p>
      <w:r>
        <w:rPr>
          <w:i/>
          <w:color w:val="666666"/>
          <w:sz w:val="18"/>
        </w:rPr>
        <w:t>Špačková M et al.  ·  Epidemiol Mikrobiol Imunol  ·  2026  ·  PMID 42859865</w:t>
      </w:r>
    </w:p>
    <w:p>
      <w:r>
        <w:t>Narrative Übersichtsarbeit zur Kyasanur-Waldkrankheit, einer durch Klimawandel, Entwaldung und erhöhten Menschenkontakt mit Wäldern expandierenden Zoonose in Indien, mit Bewertung des Risikos für die Tschechische Republik.</w:t>
      </w:r>
    </w:p>
    <w:p>
      <w:r>
        <w:rPr>
          <w:b/>
        </w:rPr>
        <w:t xml:space="preserve">Ergebnis: </w:t>
      </w:r>
      <w:r>
        <w:t>Kyasanur-Waldkrankheit ist eine Zecken-übertragene hämorrhagische Erkrankung mit Fallsterblichkeit 3–10%; Fälle in Indien nehmen zu, Verbreitungsgebiet expandiert. Ausbreitungsgebiete an Klimawandel, Entwaldung und menschliche Waldkontakte gebunden. In der Tschechischen Republik bislang nicht gemeldet, aber importierte Fälle nach Reisen möglich. One-Health-Ansatz und verstärkte Surveillance arboviraler Erreger in Mitteleuropa erforderlich.</w:t>
      </w:r>
    </w:p>
    <w:p>
      <w:r>
        <w:rPr>
          <w:b/>
          <w:sz w:val="19"/>
        </w:rPr>
        <w:t xml:space="preserve">Übertragbarkeit: </w:t>
      </w:r>
      <w:r>
        <w:rPr>
          <w:sz w:val="19"/>
        </w:rPr>
        <w:t>Mitteleuropa, klimazonale Anpassung aktuell nicht betroffen; Surveillance-Struktur und One-Health-Prinzipien relevant</w:t>
      </w:r>
    </w:p>
    <w:p>
      <w:r>
        <w:rPr>
          <w:color w:val="5A7D3A"/>
          <w:sz w:val="18"/>
        </w:rPr>
        <w:t>https://pubmed.ncbi.nlm.nih.gov/42859865/</w:t>
      </w:r>
    </w:p>
    <w:p>
      <w:pPr>
        <w:pStyle w:val="Heading2"/>
      </w:pPr>
      <w:r>
        <w:t>Luftverschmutzung und Frühauftreten von Lungenkrebs</w:t>
      </w:r>
    </w:p>
    <w:p>
      <w:r>
        <w:rPr>
          <w:i/>
          <w:color w:val="666666"/>
          <w:sz w:val="18"/>
        </w:rPr>
        <w:t>Gao YY et al.  ·  Carcinogenesis  ·  07.07.2026  ·  PMID 42830393</w:t>
      </w:r>
    </w:p>
    <w:p>
      <w:r>
        <w:t>Narrative Übersichtsarbeit zu Mechanismen, durch die Luft- und Haushaltsverschmutzung frühe Lungenkarzinogenese antreiben, und zu frühen Biomarkern und Chemoprävention.</w:t>
      </w:r>
    </w:p>
    <w:p>
      <w:r>
        <w:rPr>
          <w:b/>
        </w:rPr>
        <w:t xml:space="preserve">Ergebnis: </w:t>
      </w:r>
      <w:r>
        <w:t>Luftverschmutzung (PM2,5, PM10) ist für &gt;14% der globalen Lungenkrebstodesfälle verantwortlich. 99% der Weltbevölkerung atmet Luft über WHO-Richtliniengrenzen (5 μg/m³ PM2,5, 15 μg/m³ PM10). Mechanismen: DNA-Schaden, Telomerverkürzung, mitochondriale Beeinträchtigung, chronische Inflammation (CXCL13, IL-1β), Immunevasion (PD-L1, CD47-SIRPα), Dysbiose. Validierte Frühbiomarker vorhanden; Multimarker-Kombinationen zeigen verbesserte Effizienz.</w:t>
      </w:r>
    </w:p>
    <w:p>
      <w:r>
        <w:rPr>
          <w:b/>
          <w:sz w:val="19"/>
        </w:rPr>
        <w:t xml:space="preserve">Übertragbarkeit: </w:t>
      </w:r>
      <w:r>
        <w:rPr>
          <w:sz w:val="19"/>
        </w:rPr>
        <w:t>Global relevant, absolute Schwellwerte für Deutschland übertragbar</w:t>
      </w:r>
    </w:p>
    <w:p>
      <w:r>
        <w:rPr>
          <w:color w:val="5A7D3A"/>
          <w:sz w:val="18"/>
        </w:rPr>
        <w:t>https://pubmed.ncbi.nlm.nih.gov/42830393/</w:t>
      </w:r>
    </w:p>
    <w:p>
      <w:pPr>
        <w:pStyle w:val="Heading2"/>
      </w:pPr>
      <w:r>
        <w:t>Luftschadstoffexposition in der Frühschwangerschaft und angeborene Herzfehler</w:t>
      </w:r>
    </w:p>
    <w:p>
      <w:r>
        <w:rPr>
          <w:i/>
          <w:color w:val="666666"/>
          <w:sz w:val="18"/>
        </w:rPr>
        <w:t>Kukshal P et al.  ·  Indian J Pediatr  ·  02.10.2026  ·  PMID 42825890</w:t>
      </w:r>
    </w:p>
    <w:p>
      <w:r>
        <w:t>Fall-Kontroll-Studie mit 1.556 Teilnehmern (1.115 Fälle, 441 Kontrollen) zur Assoziation perikonzeptioneller Luftschadstoffexposition (PM2,5, PM10, NO2, AQI) mit angeborenen Herzfehlern in Delhi-NCR.</w:t>
      </w:r>
    </w:p>
    <w:p>
      <w:r>
        <w:rPr>
          <w:b/>
        </w:rPr>
        <w:t xml:space="preserve">Ergebnis: </w:t>
      </w:r>
      <w:r>
        <w:t>Perikonzeptionelle Exposition gegenüber schlechtem AQI und PM10 signifikant assoziiert mit erhöhtem Risiko angeborener Herzfehler. Post-Konzeptionsperiode zeigte stärkste Assoziationen: schlechter AQI für alle Herzfehler (AOR=2,74, 95%-KI: 1,78–4,22), PM10 für alle Herzfehler (AOR=3,36, 95%-KI: 2,05–5,52); Ventrikelseptumdefekt konsistent mit PM10 assoziiert (prä-konzeptionell AOR=3,13, post-konzeptionell AOR=4,35).</w:t>
      </w:r>
    </w:p>
    <w:p>
      <w:r>
        <w:rPr>
          <w:b/>
          <w:sz w:val="19"/>
        </w:rPr>
        <w:t xml:space="preserve">Übertragbarkeit: </w:t>
      </w:r>
      <w:r>
        <w:rPr>
          <w:sz w:val="19"/>
        </w:rPr>
        <w:t>Südasien, Temperaturschwellen nicht übertragbar; Expositionsfenster-Methodik und Präventionsprinzipien anwendbar</w:t>
      </w:r>
    </w:p>
    <w:p>
      <w:r>
        <w:rPr>
          <w:color w:val="5A7D3A"/>
          <w:sz w:val="18"/>
        </w:rPr>
        <w:t>https://pubmed.ncbi.nlm.nih.gov/42825890/</w:t>
      </w:r>
    </w:p>
    <w:p>
      <w:pPr>
        <w:pStyle w:val="Heading2"/>
      </w:pPr>
      <w:r>
        <w:t>Todesfälle durch Hitze und Hitzschlag bei Kindern und Erwachsenen</w:t>
      </w:r>
    </w:p>
    <w:p>
      <w:r>
        <w:rPr>
          <w:i/>
          <w:color w:val="666666"/>
          <w:sz w:val="18"/>
        </w:rPr>
        <w:t>Can A et al.  ·  Leg Med (Tokyo)  ·  29.09.2026  ·  PMID 42815323</w:t>
      </w:r>
    </w:p>
    <w:p>
      <w:r>
        <w:t>Retrospektive Obduktionsanalyse von 22 Hitzschlag-Todesfällen (2015–2024) in der Türkei zur Charakterisierung demografischer, umgebungsbezogener und pathologischer Muster bei Kindern und Erwachsenen.</w:t>
      </w:r>
    </w:p>
    <w:p>
      <w:r>
        <w:rPr>
          <w:b/>
        </w:rPr>
        <w:t xml:space="preserve">Ergebnis: </w:t>
      </w:r>
      <w:r>
        <w:t>12 Kinder, 10 Erwachsene; 68,2% männlich. 91,7% der Kindertodesfälle in geparkten Fahrzeugen; Erwachsenentodesfälle überwiegend im Freien und berufliche Exposition. Maximale Umgebungstemperatur ≥35 °C an 72,7% der Tage (Median 37,0 °C). 86,4% ohne vorherigen Arztkontakt. Keine spezifische Obduktionsfindung; Diagnose beruhte auf Szene-/Meteorologiedaten plus Ausschlussdiagnose.</w:t>
      </w:r>
    </w:p>
    <w:p>
      <w:r>
        <w:rPr>
          <w:b/>
          <w:sz w:val="19"/>
        </w:rPr>
        <w:t xml:space="preserve">Übertragbarkeit: </w:t>
      </w:r>
      <w:r>
        <w:rPr>
          <w:sz w:val="19"/>
        </w:rPr>
        <w:t>Südtürkei, klimawärmer als Deutschland; Präventionsansätze nach Alter/Expositionskontext übertragbar</w:t>
      </w:r>
    </w:p>
    <w:p>
      <w:r>
        <w:rPr>
          <w:color w:val="5A7D3A"/>
          <w:sz w:val="18"/>
        </w:rPr>
        <w:t>https://pubmed.ncbi.nlm.nih.gov/42815323/</w:t>
      </w:r>
    </w:p>
    <w:p>
      <w:pPr>
        <w:pStyle w:val="Heading2"/>
      </w:pPr>
      <w:r>
        <w:t>Grünflächenausstattung und mentale Gesundheit in französischer Stadt</w:t>
      </w:r>
    </w:p>
    <w:p>
      <w:r>
        <w:rPr>
          <w:i/>
          <w:color w:val="666666"/>
          <w:sz w:val="18"/>
        </w:rPr>
        <w:t>Sicard P et al.  ·  J Environ Manage  ·  01.10.2026  ·  PMID 42784923</w:t>
      </w:r>
    </w:p>
    <w:p>
      <w:r>
        <w:t>Querschnittsstudie mit 1.195 Erwachsenen in Aix-en-Provence zur Assoziation von Grünflächenverfügbarkeit (3-30-300 Regel) mit selbstberichteter psychischer Gesundheit und Verhaltensoutcomes.</w:t>
      </w:r>
    </w:p>
    <w:p>
      <w:r>
        <w:rPr>
          <w:b/>
        </w:rPr>
        <w:t xml:space="preserve">Ergebnis: </w:t>
      </w:r>
      <w:r>
        <w:t>Höhere Baumbestände im Distrikt assoziiert mit besserer Schlafqualität (β=0,0059, 95%-KI: 0,0017–0,0101), weniger Traurheit (β=−0,0066, 95%-KI: −0,0125–−0,0006) und Angstsymptomen (β=−0,0073, 95%-KI: −0,0159–0,0014); Gebäude mit mindestens zwei Komponenten der 3-30-300 Regel assoziiert mit besserer mentaler Gesundheit (β=0,0054) und niedrigerem Stress (β=−0,0081, p&lt;0,05).</w:t>
      </w:r>
    </w:p>
    <w:p>
      <w:r>
        <w:rPr>
          <w:b/>
          <w:sz w:val="19"/>
        </w:rPr>
        <w:t xml:space="preserve">Übertragbarkeit: </w:t>
      </w:r>
      <w:r>
        <w:rPr>
          <w:sz w:val="19"/>
        </w:rPr>
        <w:t>Südeuropa, urbane Planungsprinzipien auf mediterrane Mittelstadt übertragbar</w:t>
      </w:r>
    </w:p>
    <w:p>
      <w:r>
        <w:rPr>
          <w:color w:val="5A7D3A"/>
          <w:sz w:val="18"/>
        </w:rPr>
        <w:t>https://pubmed.ncbi.nlm.nih.gov/42784923/</w:t>
      </w:r>
    </w:p>
    <w:p>
      <w:pPr>
        <w:pStyle w:val="Heading1"/>
      </w:pPr>
      <w:r>
        <w:t>Aufgenommen am 13.10.2026</w:t>
      </w:r>
    </w:p>
    <w:p>
      <w:pPr>
        <w:pStyle w:val="Heading2"/>
      </w:pPr>
      <w:r>
        <w:t>Fleischalternativen: Verbraucher akzeptieren Fleisch-Nomenklatur, aber wünschen transparentere Kennzeichnung</w:t>
      </w:r>
    </w:p>
    <w:p>
      <w:r>
        <w:rPr>
          <w:i/>
          <w:color w:val="666666"/>
          <w:sz w:val="18"/>
        </w:rPr>
        <w:t>Ketelings L et al.  ·  Front Public Health  ·  22.09.2026  ·  PMID 42840042</w:t>
      </w:r>
    </w:p>
    <w:p>
      <w:r>
        <w:t>Fokusgruppenstudie mit niederländischen Verbrauchern unterschiedlicher Fleischkonsumgewohnheiten zu Wahrnehmung und Erwartungen bei Kennzeichnung von Fleischalternativen im Kontext Nachhaltigkeit und Klimaschutz.</w:t>
      </w:r>
    </w:p>
    <w:p>
      <w:r>
        <w:rPr>
          <w:b/>
        </w:rPr>
        <w:t xml:space="preserve">Ergebnis: </w:t>
      </w:r>
      <w:r>
        <w:t>Kernfunde: Produktbezeichnung, Positionierung und Glaubwürdigkeitsattribute prägen Kundenerwartungen. Verbraucher berichten keine unbeabsichtigten Käufe, äußern aber Bedenken vor Irreführung; fleischähnliche Nomenklatur hilft bei Vertrautheit und Produktverständnis. Forderung nach standardisierten, transparenten Kennzeichnungspraktiken zur Verbraucherschutz und Unterstützung nachhaltiger Adoption.</w:t>
      </w:r>
    </w:p>
    <w:p>
      <w:r>
        <w:rPr>
          <w:b/>
          <w:sz w:val="19"/>
        </w:rPr>
        <w:t xml:space="preserve">Übertragbarkeit: </w:t>
      </w:r>
      <w:r>
        <w:rPr>
          <w:sz w:val="19"/>
        </w:rPr>
        <w:t>Niederlande; direkt auf deutschsprachigen Raum übertragbar, vergleichbare Verbrauchererwartungen</w:t>
      </w:r>
    </w:p>
    <w:p>
      <w:r>
        <w:rPr>
          <w:color w:val="5A7D3A"/>
          <w:sz w:val="18"/>
        </w:rPr>
        <w:t>https://pubmed.ncbi.nlm.nih.gov/42840042/</w:t>
      </w:r>
    </w:p>
    <w:p>
      <w:pPr>
        <w:pStyle w:val="Heading2"/>
      </w:pPr>
      <w:r>
        <w:t>Klimawandel und Fasciola-Übertragung: Risiken in Nordeuropa steigen, in Westafrika sinken</w:t>
      </w:r>
    </w:p>
    <w:p>
      <w:r>
        <w:rPr>
          <w:i/>
          <w:color w:val="666666"/>
          <w:sz w:val="18"/>
        </w:rPr>
        <w:t>van der Deure T et al.  ·  PLoS Negl Trop Dis  ·  05.10.2026  ·  PMID 42832590</w:t>
      </w:r>
    </w:p>
    <w:p>
      <w:r>
        <w:t>Entwicklung eines Risikoindex zur Prognose von Leberegelinfektionen (F. hepatica und F. gigantica) unter Klimawandel in Afrika und Europa basierend auf Temperaturabhängigkeit der Parasitenentwicklung, Schneckenverbreitung und Gewässerverfügbarkeit.</w:t>
      </w:r>
    </w:p>
    <w:p>
      <w:r>
        <w:rPr>
          <w:b/>
        </w:rPr>
        <w:t xml:space="preserve">Ergebnis: </w:t>
      </w:r>
      <w:r>
        <w:t>F. gigantica-Risiko sinkt in Sahel und Westafrika; F. hepatica-Risiko nimmt in Nordeuropa, Skandinavien und Island zu, wo Viehdichten hoch sind. Hybridisierungsrisiko beider Arten geht zurück aufgrund reduzierter geografischer Überlappung.</w:t>
      </w:r>
    </w:p>
    <w:p>
      <w:r>
        <w:rPr>
          <w:b/>
          <w:sz w:val="19"/>
        </w:rPr>
        <w:t xml:space="preserve">Übertragbarkeit: </w:t>
      </w:r>
      <w:r>
        <w:rPr>
          <w:sz w:val="19"/>
        </w:rPr>
        <w:t>Nordeuropa betroffen; Methodik und Risikoabschätzung übertragbar auf gemäßigte Zonen</w:t>
      </w:r>
    </w:p>
    <w:p>
      <w:r>
        <w:rPr>
          <w:color w:val="5A7D3A"/>
          <w:sz w:val="18"/>
        </w:rPr>
        <w:t>https://pubmed.ncbi.nlm.nih.gov/42832590/</w:t>
      </w:r>
    </w:p>
    <w:p>
      <w:pPr>
        <w:pStyle w:val="Heading2"/>
      </w:pPr>
      <w:r>
        <w:t>Klimawandel verschärft Flugverkehr-Vereisungsrisiken: Eismeldungen in China um 500 m/Jahr angestiegen</w:t>
      </w:r>
    </w:p>
    <w:p>
      <w:r>
        <w:rPr>
          <w:i/>
          <w:color w:val="666666"/>
          <w:sz w:val="18"/>
        </w:rPr>
        <w:t>Zhang W et al.  ·  J Environ Sci (China)  ·  01.02.2026  ·  PMID 42822913</w:t>
      </w:r>
    </w:p>
    <w:p>
      <w:r>
        <w:t>Analyse von 13 Jahren (2011–2023) Piloten-Vereisungsmeldungen (PIREPs) in China zur Erfassung von Häufigkeit, räumlichen Mustern, Vertikalverteilung und zeitlichen Trends sowie deren Zusammenhang mit Klimawandel, Topografie, Wirtschaftsaktivität und Aerosol-Emissionen.</w:t>
      </w:r>
    </w:p>
    <w:p>
      <w:r>
        <w:rPr>
          <w:b/>
        </w:rPr>
        <w:t xml:space="preserve">Ergebnis: </w:t>
      </w:r>
      <w:r>
        <w:t>Deutlicher räumlicher Gradient (Südwesten höchste Häufigkeit); Vertikalstratifikation mit Spitzenwert 2–8 km Höhe; winterliche Dominanz (7,3-fach höher als Sommer); auffällige Aufwärtsverschiebung der primären Vereisungsschicht um ~500 m/Jahr ab 2018, korrelierend mit steigenden Gefriergrenzenhöhen unter globaler Erwärmung.</w:t>
      </w:r>
    </w:p>
    <w:p>
      <w:r>
        <w:rPr>
          <w:b/>
          <w:sz w:val="19"/>
        </w:rPr>
        <w:t xml:space="preserve">Übertragbarkeit: </w:t>
      </w:r>
      <w:r>
        <w:rPr>
          <w:sz w:val="19"/>
        </w:rPr>
        <w:t>China; Methodik auf gemäßigte Zonen übertragbar, regionale Temperaturtrends sind klimaabhängig</w:t>
      </w:r>
    </w:p>
    <w:p>
      <w:r>
        <w:rPr>
          <w:color w:val="5A7D3A"/>
          <w:sz w:val="18"/>
        </w:rPr>
        <w:t>https://pubmed.ncbi.nlm.nih.gov/42822913/</w:t>
      </w:r>
    </w:p>
    <w:p>
      <w:pPr>
        <w:pStyle w:val="Heading2"/>
      </w:pPr>
      <w:r>
        <w:t>Umweltbelastung und Gehirn: Tägliche Schwankungen in Luftqualität und Lärm beeinflussen Hirnstruktur</w:t>
      </w:r>
    </w:p>
    <w:p>
      <w:r>
        <w:rPr>
          <w:i/>
          <w:color w:val="666666"/>
          <w:sz w:val="18"/>
        </w:rPr>
        <w:t>Falkenstein K et al.  ·  BMC Neurosci  ·  23.09.2026  ·  PMID 42778897</w:t>
      </w:r>
    </w:p>
    <w:p>
      <w:r>
        <w:t>Studienprotokoll für Langzeitstudie mit 30 Teilnehmern über 25 Messsitzungen zur Erfassung tagesdurchschnittlicher Umweltvariationen (Luftqualität, Lärm, Lichteexposition, physische Aktivität) und deren Auswirkungen auf Hirnstruktur, -funktion und Wohlbefinden mittels Neuroimaging und tragbarer Sensoren.</w:t>
      </w:r>
    </w:p>
    <w:p>
      <w:r>
        <w:rPr>
          <w:b/>
        </w:rPr>
        <w:t xml:space="preserve">Ergebnis: </w:t>
      </w:r>
      <w:r>
        <w:t>Studiendesign zur Erfassung von Zusammenhängen zwischen alltäglicher Umweltexposition und kurzfristiger Neuroplastizität etabliert; Dataset umfasst multimodale Neuroimaging-Messungen (T1/T2*-gewichtet, Diffusions-Tensor-Imaging) sowie kontinuierliche Umwelt- und physiologische Tracking-Daten.</w:t>
      </w:r>
    </w:p>
    <w:p>
      <w:r>
        <w:rPr>
          <w:b/>
          <w:sz w:val="19"/>
        </w:rPr>
        <w:t xml:space="preserve">Übertragbarkeit: </w:t>
      </w:r>
      <w:r>
        <w:rPr>
          <w:sz w:val="19"/>
        </w:rPr>
        <w:t>Deutschland (Berlin/Hamburg); direkt übertragbar auf gemäßigte Klimazone und urbane Gesundheitsfragen</w:t>
      </w:r>
    </w:p>
    <w:p>
      <w:r>
        <w:rPr>
          <w:color w:val="5A7D3A"/>
          <w:sz w:val="18"/>
        </w:rPr>
        <w:t>https://pubmed.ncbi.nlm.nih.gov/42778897/</w:t>
      </w:r>
    </w:p>
    <w:p>
      <w:pPr>
        <w:pStyle w:val="Heading2"/>
      </w:pPr>
      <w:r>
        <w:t>KI-Modelle und Klimawandel-Debatten: Systematische Verzerrungen in LLM-Meinungsdynamiken messbar</w:t>
      </w:r>
    </w:p>
    <w:p>
      <w:r>
        <w:rPr>
          <w:i/>
          <w:color w:val="666666"/>
          <w:sz w:val="18"/>
        </w:rPr>
        <w:t>Brockers VC et al.  ·  Nat Commun  ·  22.09.2026  ·  PMID 42773123</w:t>
      </w:r>
    </w:p>
    <w:p>
      <w:r>
        <w:t>Entwicklung eines Bayes-Frameworks zur Messung von Verzerrungen in Meinungsdynamiken von Large Language Models (LLMs) in Multi-Schritt-Dialogen zu 12 Fragen, darunter Klimawandel, mit Quantifizierung von Topic-Bias, Agreement-Bias und Anchoring-Bias.</w:t>
      </w:r>
    </w:p>
    <w:p>
      <w:r>
        <w:rPr>
          <w:b/>
        </w:rPr>
        <w:t xml:space="preserve">Ergebnis: </w:t>
      </w:r>
      <w:r>
        <w:t>Meinungstrajektorien konvergieren schnell zu gemeinsamen Attraktoren; Einfluss von Interaktion und Verzerrungen nimmt zeitlich ab; Verzerrungseffekte unterscheiden sich zwischen LLM-Typen. Fine-Tuning auf stark opinionierte Statements verschiebt Meinungs-Attraktoren entsprechend. Framework offenbart erhebliche Unterschiede zwischen LLMs und quantifiziert Beitrag von Verzerrungen vs. echter Interaktion.</w:t>
      </w:r>
    </w:p>
    <w:p>
      <w:r>
        <w:rPr>
          <w:b/>
          <w:sz w:val="19"/>
        </w:rPr>
        <w:t xml:space="preserve">Übertragbarkeit: </w:t>
      </w:r>
      <w:r>
        <w:rPr>
          <w:sz w:val="19"/>
        </w:rPr>
        <w:t>Deutschland; Methodik zur Messung ideologischer Verzerrungen in KI-generierten Klimadebatten anwendbar</w:t>
      </w:r>
    </w:p>
    <w:p>
      <w:r>
        <w:rPr>
          <w:color w:val="5A7D3A"/>
          <w:sz w:val="18"/>
        </w:rPr>
        <w:t>https://pubmed.ncbi.nlm.nih.gov/42773123/</w:t>
      </w:r>
    </w:p>
    <w:p>
      <w:pPr>
        <w:pStyle w:val="Heading2"/>
      </w:pPr>
      <w:r>
        <w:t>Feinstaubbelastung und Toxizität in Grillrestaurants: Innenraum-PM₁₀ doppelt so hoch wie außen</w:t>
      </w:r>
    </w:p>
    <w:p>
      <w:r>
        <w:rPr>
          <w:i/>
          <w:color w:val="666666"/>
          <w:sz w:val="18"/>
        </w:rPr>
        <w:t>Figueiredo D et al.  ·  Environ Toxicol Pharmacol  ·  22.09.2026  ·  PMID 42772535</w:t>
      </w:r>
    </w:p>
    <w:p>
      <w:r>
        <w:t>Untersuchung der chemischen Zusammensetzung und Toxizität von PM₁₀ in einem portugiesischen Grillrestaurant mit Messungen innen und außen sowie Zellviabilitätstests an Lungenzellen.</w:t>
      </w:r>
    </w:p>
    <w:p>
      <w:r>
        <w:rPr>
          <w:b/>
        </w:rPr>
        <w:t xml:space="preserve">Ergebnis: </w:t>
      </w:r>
      <w:r>
        <w:t>Indoor-PM₁₀-Konzentrationen deutlich höher als outdoor; Kohlehydrate machten bis zu 50% der PM₁₀-Masse aus. Indoorproben zeigten höhere oxidative Spannung (OPDTT), reduzierte Zellviabilität und erhöhte intrazelluläre ROS im Vergleich zu Outdoor-Proben.</w:t>
      </w:r>
    </w:p>
    <w:p>
      <w:r>
        <w:rPr>
          <w:b/>
          <w:sz w:val="19"/>
        </w:rPr>
        <w:t xml:space="preserve">Übertragbarkeit: </w:t>
      </w:r>
      <w:r>
        <w:rPr>
          <w:sz w:val="19"/>
        </w:rPr>
        <w:t>Portugal; Innenraumexposition in mitteleuropäischen Arbeitsumgebungen vergleichbar</w:t>
      </w:r>
    </w:p>
    <w:p>
      <w:r>
        <w:rPr>
          <w:color w:val="5A7D3A"/>
          <w:sz w:val="18"/>
        </w:rPr>
        <w:t>https://pubmed.ncbi.nlm.nih.gov/42772535/</w:t>
      </w:r>
    </w:p>
    <w:p>
      <w:pPr>
        <w:pStyle w:val="Heading1"/>
      </w:pPr>
      <w:r>
        <w:t>Aufgenommen am 12.10.2026</w:t>
      </w:r>
    </w:p>
    <w:p>
      <w:pPr>
        <w:pStyle w:val="Heading2"/>
      </w:pPr>
      <w:r>
        <w:t>Stickoxide und Naturzeit: Effekte auf Entzündungsmarker bei Übergewicht</w:t>
      </w:r>
    </w:p>
    <w:p>
      <w:r>
        <w:rPr>
          <w:i/>
          <w:color w:val="666666"/>
          <w:sz w:val="18"/>
        </w:rPr>
        <w:t>Dzhambov AM et al.  ·  Arh Hig Rada Toksikol  ·  01.09.2026  ·  PMID 42859413</w:t>
      </w:r>
    </w:p>
    <w:p>
      <w:r>
        <w:t>Eine Querschnittsstudie (2023-2024) in Bulgarien untersuchte bei 90 übergewichtigen Erwachsenen mit metabolischem Syndrom Assoziationen zwischen Wohnumgebungs-Expositionen (Luftverschmutzung, Lärm, Grünflächen) und proinflammatorischen Markern sowie adipositäsbezogenen Parametern.</w:t>
      </w:r>
    </w:p>
    <w:p>
      <w:r>
        <w:rPr>
          <w:b/>
        </w:rPr>
        <w:t xml:space="preserve">Ergebnis: </w:t>
      </w:r>
      <w:r>
        <w:t>Jede 10 μg/m³ Zunahme von NO₂ war assoziiert mit höherer TNF-α-Konzentration (+36,27 %; 95 % KI: −5,66 %, 96,83 %), IL-6 (+41,63 %; 95 % KI: 8,16 %, 85,46 %), CRP (+37,80 %; 95 % KI: 5,89 %, 79,32 %) und Leptin (+25,61 %; 95 % KI: −8,73 %, 72,88 %). Pro 2 Stunden pro Woche Zeit in der Natur sank TNF-α (−20,49 %; 95 % KI: −37,56 %, 1,23 %) und Adiponectin stieg (+10,30 %; 95 % KI: 1,36 %, 20,03 %).</w:t>
      </w:r>
    </w:p>
    <w:p>
      <w:r>
        <w:rPr>
          <w:b/>
          <w:sz w:val="19"/>
        </w:rPr>
        <w:t xml:space="preserve">Übertragbarkeit: </w:t>
      </w:r>
      <w:r>
        <w:rPr>
          <w:sz w:val="19"/>
        </w:rPr>
        <w:t>Südeuropa mit vergleichbarer Infrastruktur; Assoziationen und Prinzipien auf mitteleuropäische Bevölkerung übertragbar.</w:t>
      </w:r>
    </w:p>
    <w:p>
      <w:r>
        <w:rPr>
          <w:color w:val="5A7D3A"/>
          <w:sz w:val="18"/>
        </w:rPr>
        <w:t>https://pubmed.ncbi.nlm.nih.gov/42859413/</w:t>
      </w:r>
    </w:p>
    <w:p>
      <w:pPr>
        <w:pStyle w:val="Heading2"/>
      </w:pPr>
      <w:r>
        <w:t>Berufliche Hitzeexposition und DNA-Schäden bei Aluminiumhütten-Arbeitern</w:t>
      </w:r>
    </w:p>
    <w:p>
      <w:r>
        <w:rPr>
          <w:i/>
          <w:color w:val="666666"/>
          <w:sz w:val="18"/>
        </w:rPr>
        <w:t>Khalifa EM et al.  ·  Int Arch Occup Environ Health  ·  10.10.2026  ·  PMID 42859242</w:t>
      </w:r>
    </w:p>
    <w:p>
      <w:r>
        <w:t>Eine Querschnittsstudie untersuchte bei 93 Arbeitern (47 hitzeexponiert, 46 Kontrolle) in einer ägyptischen Aluminiumproduktionfabrik die Zusammenhänge zwischen Hitzeexposition und oxidativen Stress-Biomarkern sowie DNA-Reparaturgenen.</w:t>
      </w:r>
    </w:p>
    <w:p>
      <w:r>
        <w:rPr>
          <w:b/>
        </w:rPr>
        <w:t xml:space="preserve">Ergebnis: </w:t>
      </w:r>
      <w:r>
        <w:t>Hitzeexponierte Arbeiter zeigten signifikant erhöhte Konzentrationen von Malondialdehyd und 8-OHdG (beide p &lt; 0,001), während Superoxiddismutase, Glutathionperoxidase und Gesamtantioxidantienkapazität sanken (p &lt; 0,001). Die Hitzeexposition war mit erhöhtem oxidativem Stress, DNA-Schäden und verminderter Expression von DNA-Reparatur- und Redox-Regulationsgenen verbunden, was auf compromittierte zelluläre Abwehrmechanismen hindeutet.</w:t>
      </w:r>
    </w:p>
    <w:p>
      <w:r>
        <w:rPr>
          <w:b/>
          <w:sz w:val="19"/>
        </w:rPr>
        <w:t xml:space="preserve">Übertragbarkeit: </w:t>
      </w:r>
      <w:r>
        <w:rPr>
          <w:sz w:val="19"/>
        </w:rPr>
        <w:t>Mechanismus ist klimazonenunabhängig; Feldmonitoring mit WBGT übertragbar auch für deutsche Arbeitsplätze.</w:t>
      </w:r>
    </w:p>
    <w:p>
      <w:r>
        <w:rPr>
          <w:color w:val="5A7D3A"/>
          <w:sz w:val="18"/>
        </w:rPr>
        <w:t>https://pubmed.ncbi.nlm.nih.gov/42859242/</w:t>
      </w:r>
    </w:p>
    <w:p>
      <w:pPr>
        <w:pStyle w:val="Heading2"/>
      </w:pPr>
      <w:r>
        <w:t>Radon in Krankenhäusern: Monitoring und Risiko-Stratifizierung</w:t>
      </w:r>
    </w:p>
    <w:p>
      <w:r>
        <w:rPr>
          <w:i/>
          <w:color w:val="666666"/>
          <w:sz w:val="18"/>
        </w:rPr>
        <w:t>Ţenter A et al.  ·  Front Public Health  ·  25.09.2026  ·  PMID 42856963</w:t>
      </w:r>
    </w:p>
    <w:p>
      <w:r>
        <w:t>Eine Großstudie installierte 1700 CR-39-Detektoren in 115 medizinischen Einrichtungen in 40 rumänischen Lokalitäten für dreimonatige Messungen; ausgewertet wurden 1651 valide Messungen zur Schätzung der jährlichen Radon-Aktivitätskonzentration.</w:t>
      </w:r>
    </w:p>
    <w:p>
      <w:r>
        <w:rPr>
          <w:b/>
        </w:rPr>
        <w:t xml:space="preserve">Ergebnis: </w:t>
      </w:r>
      <w:r>
        <w:t>Mittlere Radon-Jahreskonzentration 61 Bq/m³ (Median 40 Bq/m³, geometrisches Mittel 41 Bq/m³). Nur 26 von 1651 Messungen (1,6 %) überschritten den Referenzwert von 300 Bq/m³, alle konzentriert in unteren Stockwerken (25 in Kellern/Erdgeschoss). Höhere Konzentrationen in Radiologie und Zahnkliniken, niedrigere in Krankenhäusern. Gebäude-spezifische Charakteristiken und Stockwerk zeigten signifikante Effekte im Mixed-Effects-Modell.</w:t>
      </w:r>
    </w:p>
    <w:p>
      <w:r>
        <w:rPr>
          <w:b/>
          <w:sz w:val="19"/>
        </w:rPr>
        <w:t xml:space="preserve">Übertragbarkeit: </w:t>
      </w:r>
      <w:r>
        <w:rPr>
          <w:sz w:val="19"/>
        </w:rPr>
        <w:t>Rumänien, Europa; Monitoring-Strategie für Kliniken übertragbar auf deutschsprachige Sanitätseinrichtungen.</w:t>
      </w:r>
    </w:p>
    <w:p>
      <w:r>
        <w:rPr>
          <w:color w:val="5A7D3A"/>
          <w:sz w:val="18"/>
        </w:rPr>
        <w:t>https://pubmed.ncbi.nlm.nih.gov/42856963/</w:t>
      </w:r>
    </w:p>
    <w:p>
      <w:pPr>
        <w:pStyle w:val="Heading2"/>
      </w:pPr>
      <w:r>
        <w:t>Klimawandel und Gesundheit in Ländern mit niedrigem Versorgungsniveau</w:t>
      </w:r>
    </w:p>
    <w:p>
      <w:r>
        <w:rPr>
          <w:i/>
          <w:color w:val="666666"/>
          <w:sz w:val="18"/>
        </w:rPr>
        <w:t>Barcellos C et al.  ·  Cien Saude Colet  ·  05.10.2026  ·  PMID 42848628</w:t>
      </w:r>
    </w:p>
    <w:p>
      <w:r>
        <w:t>Ein Expertenpapier analysiert die klimabedingte Belastung für Gesundheitssysteme in peripheren Ländern und vulnerablen Bevölkerungen, besonders im Kontext von Hitzeströmen, Umweltdegradation und mangelhaften Gesundheitsdiensten.</w:t>
      </w:r>
    </w:p>
    <w:p>
      <w:r>
        <w:rPr>
          <w:b/>
        </w:rPr>
        <w:t xml:space="preserve">Ergebnis: </w:t>
      </w:r>
      <w:r>
        <w:t>Zentrale Kernaussage: Klimawandel verursacht geographisch unterschiedliche Gesundheitsfolgen. Periphere Länder und vulnerable Territorien in ihnen erleben Bedingungen aggravierende niedrige Versorgungsqualität und -dichte; dies verstärkt Krankheitsübertragung und nicht-übertragbare Erkrankungen, führt zu Klimaungerechtigkeit. Public Health in peripheren Ländern muss an sozialen und umweltbezogenen Determinanten ansetzen, mit kritischer Haltung zu Adaptationsvorschlägen, die Ungleichheiten reduzieren müssen.</w:t>
      </w:r>
    </w:p>
    <w:p>
      <w:r>
        <w:rPr>
          <w:b/>
          <w:sz w:val="19"/>
        </w:rPr>
        <w:t xml:space="preserve">Übertragbarkeit: </w:t>
      </w:r>
      <w:r>
        <w:rPr>
          <w:sz w:val="19"/>
        </w:rPr>
        <w:t>Lateinamerika, begrenzte Ressourcen; Prinzipien von Klima-Gerechtigkeit und Prioritätenreihung auch für Übergangsphasen in Deutschland relevant.</w:t>
      </w:r>
    </w:p>
    <w:p>
      <w:r>
        <w:rPr>
          <w:color w:val="5A7D3A"/>
          <w:sz w:val="18"/>
        </w:rPr>
        <w:t>https://pubmed.ncbi.nlm.nih.gov/42848628/</w:t>
      </w:r>
    </w:p>
    <w:p>
      <w:pPr>
        <w:pStyle w:val="Heading2"/>
      </w:pPr>
      <w:r>
        <w:t>Klassenzimmer-Luftqualität und Atemwegserkrankungen bei Schülern in Nigeria</w:t>
      </w:r>
    </w:p>
    <w:p>
      <w:r>
        <w:rPr>
          <w:i/>
          <w:color w:val="666666"/>
          <w:sz w:val="18"/>
        </w:rPr>
        <w:t>Eghomwanre AF et al.  ·  Environ Sci Pollut Res Int  ·  28.09.2026  ·  PMID 42804077</w:t>
      </w:r>
    </w:p>
    <w:p>
      <w:r>
        <w:t>Eine Querschnittsstudie in sechs Schulen Nigerias (10 Wochen) maß Luftqualitätsparameter (PM₂,₅, PM₁₀, CO, CO₂) und thermische Behaglichkeit und erfasste respiratorische Symptome mittels Fragebogen und multivariate Regressionsanalyse.</w:t>
      </w:r>
    </w:p>
    <w:p>
      <w:r>
        <w:rPr>
          <w:b/>
        </w:rPr>
        <w:t xml:space="preserve">Ergebnis: </w:t>
      </w:r>
      <w:r>
        <w:t>PM₂,₅ schwankte von 11,2–81,4 μg/m³, PM₁₀ von 20,1–138,6 μg/m³. Alle Hazard-Quotient-Werte (HQ) für PM₂,₅ und PM₁₀ lagen unter 1, deuteten also auf kein chronisches Risiko hin. Jedoch zeigte sich hohe Prävalenz akuter Symptome: Husten (58,2 %), Auswurf (32,5 %), Brustschmerz (26,7 %). Erhöhte PM-Exposition war stark mit Husten assoziiert (p &lt; 0,001) und erhöhte die Chancen für Brustschmerz (bereinigtes OR = 2,74; 95 % KI: 1,35–22,80; p = 0,018).</w:t>
      </w:r>
    </w:p>
    <w:p>
      <w:r>
        <w:rPr>
          <w:b/>
          <w:sz w:val="19"/>
        </w:rPr>
        <w:t xml:space="preserve">Übertragbarkeit: </w:t>
      </w:r>
      <w:r>
        <w:rPr>
          <w:sz w:val="19"/>
        </w:rPr>
        <w:t>Tropische Zone mit anderen Anpassungsniveaus; Methodik und Symptom-Mechanismus prinzipiell übertragbar.</w:t>
      </w:r>
    </w:p>
    <w:p>
      <w:r>
        <w:rPr>
          <w:color w:val="5A7D3A"/>
          <w:sz w:val="18"/>
        </w:rPr>
        <w:t>https://pubmed.ncbi.nlm.nih.gov/42804077/</w:t>
      </w:r>
    </w:p>
    <w:p>
      <w:pPr>
        <w:pStyle w:val="Heading2"/>
      </w:pPr>
      <w:r>
        <w:t>PAH-Belastung in Schulen und Wohnungen europäischer Großstädte</w:t>
      </w:r>
    </w:p>
    <w:p>
      <w:r>
        <w:rPr>
          <w:i/>
          <w:color w:val="666666"/>
          <w:sz w:val="18"/>
        </w:rPr>
        <w:t>Aretaki MA et al.  ·  Environ Res  ·  01.11.2026  ·  PMID 42705444</w:t>
      </w:r>
    </w:p>
    <w:p>
      <w:r>
        <w:t>Eine europäische Multizenterstudie bestimmte PAH-Konzentrationen in der Innenraumluft von Schulen, Wohnungen und Sporthallen in sechs Städten (Athen, Barcelona, Colchester, Kopenhagen, Helsinki, Lissabon) und schätzte das Krebsrisiko für Kinder.</w:t>
      </w:r>
    </w:p>
    <w:p>
      <w:r>
        <w:rPr>
          <w:b/>
        </w:rPr>
        <w:t xml:space="preserve">Ergebnis: </w:t>
      </w:r>
      <w:r>
        <w:t>Höchste Median-PAH-Konzentrationen (&gt;50.000 pg/m³) in Schulen und Wohnungen waren mit intensiver lokaler Holzverbrennung verknüpft. Das geschätzte Überschusskrebs-Risiko für eine fünfjährige Primärschul-Expositionsperiode (ECR5) lag über alle Standorte zwischen 10⁻⁸ und 10⁻⁵ und blieb unter dem Schwellwert von 10⁻⁴. Hochmolekulare PAHs waren in Schulen höher als in Wohnungen, niedermolekulare dagegen in Wohnungen dominanter.</w:t>
      </w:r>
    </w:p>
    <w:p>
      <w:r>
        <w:rPr>
          <w:b/>
          <w:sz w:val="19"/>
        </w:rPr>
        <w:t xml:space="preserve">Übertragbarkeit: </w:t>
      </w:r>
      <w:r>
        <w:rPr>
          <w:sz w:val="19"/>
        </w:rPr>
        <w:t>Europäische Daten, gemäßigte Klimazone, mehrere Länder mit unterschiedlicher Heizpraxis.</w:t>
      </w:r>
    </w:p>
    <w:p>
      <w:r>
        <w:rPr>
          <w:color w:val="5A7D3A"/>
          <w:sz w:val="18"/>
        </w:rPr>
        <w:t>https://pubmed.ncbi.nlm.nih.gov/42705444/</w:t>
      </w:r>
    </w:p>
    <w:p>
      <w:pPr>
        <w:pStyle w:val="Heading1"/>
      </w:pPr>
      <w:r>
        <w:t>Aufgenommen am 11.10.2026</w:t>
      </w:r>
    </w:p>
    <w:p>
      <w:pPr>
        <w:pStyle w:val="Heading2"/>
      </w:pPr>
      <w:r>
        <w:t>Flaschenfütterung und Schnuller erhöhen Atemwegsinfekt-Risiko bei Säuglingen</w:t>
      </w:r>
    </w:p>
    <w:p>
      <w:r>
        <w:rPr>
          <w:i/>
          <w:color w:val="666666"/>
          <w:sz w:val="18"/>
        </w:rPr>
        <w:t>Veerajitt P et al.  ·  J Trop Pediatr  ·  09.10.2026  ·  PMID 42854097</w:t>
      </w:r>
    </w:p>
    <w:p>
      <w:r>
        <w:t>Prospektive Kohortenstudie in Südthailand zu modifizierbaren Verhaltensfaktoren für akute Atemwegsinfekte bei Säuglingen in den ersten 12 Lebensmonaten.</w:t>
      </w:r>
    </w:p>
    <w:p>
      <w:r>
        <w:rPr>
          <w:b/>
        </w:rPr>
        <w:t xml:space="preserve">Ergebnis: </w:t>
      </w:r>
      <w:r>
        <w:t>Von 671 Säuglingen erlebten 40,3% (271) mindestens einen Atemwegsinfekt zwischen 6–12 Monaten, 69,7% nur einen. Flaschenfütterung in den ersten 6 Monaten assoziiert mit erhöhtem Risiko (IRR = 1,37; 95%-KI: 1,05–1,82; p = 0,025); Risiko stieg mit Dauer der Flaschenfütterung. Ähnlicher Trend mit Schnullergebrauch (IRR = 1,33; 95%-KI: 1,02–1,71; p = 0,031) – 37% bzw. 33% Risikoerhöhung. Stillen und Passivrauchexposition zeigten keine signifikanten Assoziationen.</w:t>
      </w:r>
    </w:p>
    <w:p>
      <w:r>
        <w:rPr>
          <w:b/>
          <w:sz w:val="19"/>
        </w:rPr>
        <w:t xml:space="preserve">Übertragbarkeit: </w:t>
      </w:r>
      <w:r>
        <w:rPr>
          <w:sz w:val="19"/>
        </w:rPr>
        <w:t>Tropisches Klima; Prävention modifizierbarer Verhaltensfaktoren nicht klimazonen-abhängig.</w:t>
      </w:r>
    </w:p>
    <w:p>
      <w:r>
        <w:rPr>
          <w:color w:val="5A7D3A"/>
          <w:sz w:val="18"/>
        </w:rPr>
        <w:t>https://pubmed.ncbi.nlm.nih.gov/42854097/</w:t>
      </w:r>
    </w:p>
    <w:p>
      <w:pPr>
        <w:pStyle w:val="Heading2"/>
      </w:pPr>
      <w:r>
        <w:t>Aedes albopictus: Klimawandel erhöht Ausbruchsrisiko in gemäßigten Zonen</w:t>
      </w:r>
    </w:p>
    <w:p>
      <w:r>
        <w:rPr>
          <w:i/>
          <w:color w:val="666666"/>
          <w:sz w:val="18"/>
        </w:rPr>
        <w:t>Kumar S et al.  ·  Indian J Med Res  ·  Aug. 2026  ·  PMID 42851228</w:t>
      </w:r>
    </w:p>
    <w:p>
      <w:r>
        <w:t>Systematische Übersichtsarbeit zu Invasionsbiologie, Vektorkompetenz und Ausbreitungsdynamik der Asiatischen Tigermücke und ihrer Rolle bei Arbovirus-Übertragung unter Klimawandel.</w:t>
      </w:r>
    </w:p>
    <w:p>
      <w:r>
        <w:rPr>
          <w:b/>
        </w:rPr>
        <w:t xml:space="preserve">Ergebnis: </w:t>
      </w:r>
      <w:r>
        <w:t>Aedes albopictus ist weniger kompetent als Ae. aegypti für Arbovirus-Transmission; Temperatur bestimmt maßgeblich Larvenentwicklung, Überlebensfähigkeit, Stechfrequenz und externe Inkubationszeit. Klimawandel wird geografische Reichweite in gemäßigte Regionen ausweiten und Transmissionspotenzial verstärken – nicht nur geografische Ausbreitung. Vertikaltransmission erhält Persistenz zwischen Epidemien.</w:t>
      </w:r>
    </w:p>
    <w:p>
      <w:r>
        <w:rPr>
          <w:b/>
          <w:sz w:val="19"/>
        </w:rPr>
        <w:t xml:space="preserve">Übertragbarkeit: </w:t>
      </w:r>
      <w:r>
        <w:rPr>
          <w:sz w:val="19"/>
        </w:rPr>
        <w:t>Gemäßigte Breiten (Deutschland): Klimawandel wird Mückenareal ausdehnen.</w:t>
      </w:r>
    </w:p>
    <w:p>
      <w:r>
        <w:rPr>
          <w:color w:val="5A7D3A"/>
          <w:sz w:val="18"/>
        </w:rPr>
        <w:t>https://pubmed.ncbi.nlm.nih.gov/42851228/</w:t>
      </w:r>
    </w:p>
    <w:p>
      <w:pPr>
        <w:pStyle w:val="Heading2"/>
      </w:pPr>
      <w:r>
        <w:t>Ruß-Sterblichkeit in China: Unterschätzung um das Doppelte</w:t>
      </w:r>
    </w:p>
    <w:p>
      <w:r>
        <w:rPr>
          <w:i/>
          <w:color w:val="666666"/>
          <w:sz w:val="18"/>
        </w:rPr>
        <w:t>Xu H et al.  ·  Nat Commun  ·  07.09.2026  ·  PMID 42844301</w:t>
      </w:r>
    </w:p>
    <w:p>
      <w:r>
        <w:t>Studie zur Hitzesterblichkeit durch Black Carbon (Rußpartikel) unter Chinas Dekarbonisierungsstrategie mit Neubewertung der Gesundheitsauswirkungen.</w:t>
      </w:r>
    </w:p>
    <w:p>
      <w:r>
        <w:rPr>
          <w:b/>
        </w:rPr>
        <w:t xml:space="preserve">Ergebnis: </w:t>
      </w:r>
      <w:r>
        <w:t>In China wurden 2015 über 540.000 vorzeitige Todesfälle durch Black-Carbon-Exposition zugeordnet – mehr als doppelt so hoch wie bisherige Angaben. Die CMIP6-Inventare unterschätzen die Gesundheitslast systematisch, während sie das Klimamilderungspotenzial um 45% überschätzen. Demografische Alterung könnte künftig Gesundheitsgewinne durch Emissionsreduktionen ausgleichen.</w:t>
      </w:r>
    </w:p>
    <w:p>
      <w:r>
        <w:rPr>
          <w:b/>
          <w:sz w:val="19"/>
        </w:rPr>
        <w:t xml:space="preserve">Übertragbarkeit: </w:t>
      </w:r>
      <w:r>
        <w:rPr>
          <w:sz w:val="19"/>
        </w:rPr>
        <w:t>Tropen, andere Luftqualitätsbedingungen; nur Methodik der Neubewertung relevant.</w:t>
      </w:r>
    </w:p>
    <w:p>
      <w:r>
        <w:rPr>
          <w:color w:val="5A7D3A"/>
          <w:sz w:val="18"/>
        </w:rPr>
        <w:t>https://pubmed.ncbi.nlm.nih.gov/42844301/</w:t>
      </w:r>
    </w:p>
    <w:p>
      <w:pPr>
        <w:pStyle w:val="Heading2"/>
      </w:pPr>
      <w:r>
        <w:t>Luftverschmutzungs-Atlanten: Vergleich verfügbarer Online-Plattformen</w:t>
      </w:r>
    </w:p>
    <w:p>
      <w:r>
        <w:rPr>
          <w:i/>
          <w:color w:val="666666"/>
          <w:sz w:val="18"/>
        </w:rPr>
        <w:t>Davoli E et al.  ·  Epidemiol Prev  ·  Juli 2026  ·  PMID 42836288</w:t>
      </w:r>
    </w:p>
    <w:p>
      <w:r>
        <w:t>Explorative Web-Review zur Identifikation und Bewertung öffentlich verfügbarer Online-Atlanten und interaktiver Karten zu Luftverschmutzung und Gesundheitsfolgen in Europa.</w:t>
      </w:r>
    </w:p>
    <w:p>
      <w:r>
        <w:rPr>
          <w:b/>
        </w:rPr>
        <w:t xml:space="preserve">Ergebnis: </w:t>
      </w:r>
      <w:r>
        <w:t>Von 1.000 gescreenten Websites erfüllten 8 die Einschlusskriterien; alle zeigten Feinstaubbelastung (PM2.5/PM10), Stickstoffdioxid und Ozon waren seltener verfügbar. Sechs Websites enthielten Dosis-Wirkungs-Schätzungen für Outcomes (meist Allsterblichkeit); nur zwei berichteten spezifische Mortalität (respiratorisch, kardiovaskulär, Krebs), keine zeigten Hospitalisierungen. Große Variabilität in Interaktivität, Lesbarkeit und Transparenz. Schlussfolgerung: Bestehende Plattformen zeigen Heterogenität – klare, transparente visuelle Kommunikation könnte Nutzbarkeit für Entscheidungsträger und Fachleute erhöhen.</w:t>
      </w:r>
    </w:p>
    <w:p>
      <w:r>
        <w:rPr>
          <w:b/>
          <w:sz w:val="19"/>
        </w:rPr>
        <w:t xml:space="preserve">Übertragbarkeit: </w:t>
      </w:r>
      <w:r>
        <w:rPr>
          <w:sz w:val="19"/>
        </w:rPr>
        <w:t>Italien, Europa; deutsche Atlanten-Standards anwendbar.</w:t>
      </w:r>
    </w:p>
    <w:p>
      <w:r>
        <w:rPr>
          <w:color w:val="5A7D3A"/>
          <w:sz w:val="18"/>
        </w:rPr>
        <w:t>https://pubmed.ncbi.nlm.nih.gov/42836288/</w:t>
      </w:r>
    </w:p>
    <w:p>
      <w:pPr>
        <w:pStyle w:val="Heading2"/>
      </w:pPr>
      <w:r>
        <w:t>Dengue-Früwarnsysteme: Barrieren für proaktive Bekämpfung in Vietnam</w:t>
      </w:r>
    </w:p>
    <w:p>
      <w:r>
        <w:rPr>
          <w:i/>
          <w:color w:val="666666"/>
          <w:sz w:val="18"/>
        </w:rPr>
        <w:t>Do KQ et al.  ·  PLoS Negl Trop Dis  ·  25.09.2026  ·  PMID 42789674</w:t>
      </w:r>
    </w:p>
    <w:p>
      <w:r>
        <w:t>Qualitative Studie mit Interviews zu Umsetzungshindernissen von Früwarnsystemen für die vektorgesteuerte Dengue-Prävention aus Sicht lokaler Akteure in Vietnam.</w:t>
      </w:r>
    </w:p>
    <w:p>
      <w:r>
        <w:rPr>
          <w:b/>
        </w:rPr>
        <w:t xml:space="preserve">Ergebnis: </w:t>
      </w:r>
      <w:r>
        <w:t>Hauptbarrieren: fehlende unterstützende Richtlinien, begrenzte Stakeholder-Beteiligung durch niedriges Verständnis von Früwarnsystemkonzepten, operative Herausforderungen, Wahrnehmung dass Dengue-Risiken nur während der Regenzeit existieren, sozioökonomische Engpässe und extreme Wetterereignisse. Die Erkenntnisse zeigen, dass Früwarnmeldungen allein nicht ausreichen, um proaktive Vektorkontrolle zu bewirken.</w:t>
      </w:r>
    </w:p>
    <w:p>
      <w:r>
        <w:rPr>
          <w:b/>
          <w:sz w:val="19"/>
        </w:rPr>
        <w:t xml:space="preserve">Übertragbarkeit: </w:t>
      </w:r>
      <w:r>
        <w:rPr>
          <w:sz w:val="19"/>
        </w:rPr>
        <w:t>Klimawandel verschärft Dengue in Tropen; Methodik der Implementierungsforschung auf Deutschland übertragbar.</w:t>
      </w:r>
    </w:p>
    <w:p>
      <w:r>
        <w:rPr>
          <w:color w:val="5A7D3A"/>
          <w:sz w:val="18"/>
        </w:rPr>
        <w:t>https://pubmed.ncbi.nlm.nih.gov/42789674/</w:t>
      </w:r>
    </w:p>
    <w:p>
      <w:pPr>
        <w:pStyle w:val="Heading2"/>
      </w:pPr>
      <w:r>
        <w:t>Klimaresiliente Krankenhäuser im Libanon: nationale Standards entwickelt</w:t>
      </w:r>
    </w:p>
    <w:p>
      <w:r>
        <w:rPr>
          <w:i/>
          <w:color w:val="666666"/>
          <w:sz w:val="18"/>
        </w:rPr>
        <w:t>Matta E et al.  ·  Int J Qual Health Care  ·  05.10.2026  ·  PMID 42788343</w:t>
      </w:r>
    </w:p>
    <w:p>
      <w:r>
        <w:t>Multiphase-Studie zur Entwicklung national angepasster Standards für klimaresiliente Krankenhäuser im Libanon durch Stakeholder-Konsultationen und Abgleich mit internationaler Guidance.</w:t>
      </w:r>
    </w:p>
    <w:p>
      <w:r>
        <w:rPr>
          <w:b/>
        </w:rPr>
        <w:t xml:space="preserve">Ergebnis: </w:t>
      </w:r>
      <w:r>
        <w:t>Es wurden 10 thematische Bereiche mit Standards definiert: Governance, Umweltmanagement, Notfallvorbereitung, Community Engagement, nachhaltige Beschaffung, Monitoring. Rechtliche Überprüfung ermöglichte Phaseneinteilung in Compliance-erforderliche Sofortmaßnahmen versus längerfristige strategische Verbesserungen. Implementierungsbewertung zeigte, dass Standards Lücken-Analyse, Kostenabschätzung und Priorisierung von Klimaresilience-Investitionen auf Einrichtungsebene ermöglichen.</w:t>
      </w:r>
    </w:p>
    <w:p>
      <w:r>
        <w:rPr>
          <w:b/>
          <w:sz w:val="19"/>
        </w:rPr>
        <w:t xml:space="preserve">Übertragbarkeit: </w:t>
      </w:r>
      <w:r>
        <w:rPr>
          <w:sz w:val="19"/>
        </w:rPr>
        <w:t>Mittlerer Osten; Methodik für Gesundheitssystem-Anpassung relevant, nicht absolute Maßstäbe.</w:t>
      </w:r>
    </w:p>
    <w:p>
      <w:r>
        <w:rPr>
          <w:color w:val="5A7D3A"/>
          <w:sz w:val="18"/>
        </w:rPr>
        <w:t>https://pubmed.ncbi.nlm.nih.gov/42788343/</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