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21.10.2026  |  6 Studien  |  klima.m-vf.de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Hitzebedingte Erkrankungen bei älteren Menschen und Notfallmedizin</w:t>
      </w:r>
    </w:p>
    <w:p>
      <w:r>
        <w:rPr>
          <w:i/>
          <w:color w:val="666666"/>
          <w:sz w:val="18"/>
        </w:rPr>
        <w:t>Simon EL et al.  ·  West J Emerg Med  ·  17.08.2026  ·  PMID 42900944</w:t>
      </w:r>
    </w:p>
    <w:p>
      <w:r>
        <w:t>Narrative Review zu Vulnerabilität älterer Erwachsener gegenüber extremer Hitze und deren Folgen für Notaufnahmen sowie klinische und Public-Health-Strategien.</w:t>
      </w:r>
    </w:p>
    <w:p>
      <w:r>
        <w:rPr>
          <w:b/>
        </w:rPr>
        <w:t xml:space="preserve">Ergebnis: </w:t>
      </w:r>
      <w:r>
        <w:t>Älter Menschen zeigen erhöhte Hitzesterblichkeit und -morbidität durch physiologische Alterungsprozesse, Komorbiditäten und Polypharmaka. Empfohlen werden proaktive Prävention, frühe Erkennung und koordinierte Gemeinschaftsinterventionen als essentiell.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gemäßigte Klimazone, Methodik und Risikogruppen-Prinzipien übertragbar</w:t>
      </w:r>
    </w:p>
    <w:p>
      <w:r>
        <w:rPr>
          <w:color w:val="5A7D3A"/>
          <w:sz w:val="18"/>
        </w:rPr>
        <w:t>https://pubmed.ncbi.nlm.nih.gov/42900944/</w:t>
      </w:r>
    </w:p>
    <w:p>
      <w:pPr>
        <w:pStyle w:val="Heading2"/>
      </w:pPr>
      <w:r>
        <w:t>Steigende Temperaturen und Traumapräsentationen in der Notaufnahme</w:t>
      </w:r>
    </w:p>
    <w:p>
      <w:r>
        <w:rPr>
          <w:i/>
          <w:color w:val="666666"/>
          <w:sz w:val="18"/>
        </w:rPr>
        <w:t>Mosley GE et al.  ·  West J Emerg Med  ·  24.09.2026  ·  PMID 42900920</w:t>
      </w:r>
    </w:p>
    <w:p>
      <w:r>
        <w:t>Retrospektive Kohortenstudie zur Assoziation zwischen Tagestemperatur und Traumafallaufkommen, stratifiziert nach Verletzungsmechanismus.</w:t>
      </w:r>
    </w:p>
    <w:p>
      <w:r>
        <w:rPr>
          <w:b/>
        </w:rPr>
        <w:t xml:space="preserve">Ergebnis: </w:t>
      </w:r>
      <w:r>
        <w:t>Beide maximale und minimale Tagestemperaturen korrelierten positiv mit Traumaaktivierungen. Gewalttaten zeigten stärkste Assoziation: Im höchsten Temperaturquintil (&gt;83 °F) 83 % höhere Gewalttaumata (IRR 1,83; 95%-KI 1,46–2,29) vs. niedrigstem Quintil.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gemäßigte Klimazone; epidemiologische Methodik auf Deutschland übertragbar</w:t>
      </w:r>
    </w:p>
    <w:p>
      <w:r>
        <w:rPr>
          <w:color w:val="5A7D3A"/>
          <w:sz w:val="18"/>
        </w:rPr>
        <w:t>https://pubmed.ncbi.nlm.nih.gov/42900920/</w:t>
      </w:r>
    </w:p>
    <w:p>
      <w:pPr>
        <w:pStyle w:val="Heading2"/>
      </w:pPr>
      <w:r>
        <w:t>Kühlung mit Eiswasserbeuteln bei Hitzschlag im Notfalleinsatz</w:t>
      </w:r>
    </w:p>
    <w:p>
      <w:r>
        <w:rPr>
          <w:i/>
          <w:color w:val="666666"/>
          <w:sz w:val="18"/>
        </w:rPr>
        <w:t>Zashin D et al.  ·  West J Emerg Med  ·  05.09.2026  ·  PMID 42900913</w:t>
      </w:r>
    </w:p>
    <w:p>
      <w:r>
        <w:t>Randomisierte Crossover-Studie zur Abkühlungsrate bei Patienten mit belastungsbedingter Hyperthermie mittels Eiswasserbeutel gegenüber Kontrollbedingung.</w:t>
      </w:r>
    </w:p>
    <w:p>
      <w:r>
        <w:rPr>
          <w:b/>
        </w:rPr>
        <w:t xml:space="preserve">Ergebnis: </w:t>
      </w:r>
      <w:r>
        <w:t>Eiswasserbeutel (partielle Immersion) erreichten Abkühlungsrate von 0,102 °C/min vs. 0,040 °C/min in Kontrolle (95%-KI 0,030–0,095; p=0,002). Kühlzeit 13,2 min vs. 27,6 min (p=0,002).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praktische Notfall-Intervention; Methode für Hitzschlag-Protokolle relevant</w:t>
      </w:r>
    </w:p>
    <w:p>
      <w:r>
        <w:rPr>
          <w:color w:val="5A7D3A"/>
          <w:sz w:val="18"/>
        </w:rPr>
        <w:t>https://pubmed.ncbi.nlm.nih.gov/42900913/</w:t>
      </w:r>
    </w:p>
    <w:p>
      <w:pPr>
        <w:pStyle w:val="Heading2"/>
      </w:pPr>
      <w:r>
        <w:t>Gerechtigkeit und Chancengleichheit in klimabedingten Katastrophen</w:t>
      </w:r>
    </w:p>
    <w:p>
      <w:r>
        <w:rPr>
          <w:i/>
          <w:color w:val="666666"/>
          <w:sz w:val="18"/>
        </w:rPr>
        <w:t>Mundo W et al.  ·  West J Emerg Med  ·  10.08.2026  ·  PMID 42900907</w:t>
      </w:r>
    </w:p>
    <w:p>
      <w:r>
        <w:t>Narrative Review zu Verdrängung und Vulnerabilität durch klimabedingte Katastrophen mit fokus auf Implementationswissenschaft und Equity in Notfall- und Recovery-Prozessen.</w:t>
      </w:r>
    </w:p>
    <w:p>
      <w:r>
        <w:rPr>
          <w:b/>
        </w:rPr>
        <w:t xml:space="preserve">Ergebnis: </w:t>
      </w:r>
      <w:r>
        <w:t>Studie identifiziert Sprachenbarrieren, Fragmentierung von Recovery-Maßnahmen und unzureichende Dokumentation als zentrale operative Hürden. Empfohlen: mehrsprachige Warnsysteme, Dolmetscher-bereite Triage, mobile Kliniken und Policy-Änderungen für vulnerable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USA/Kanada, Implementationsmethoden und Equity-Rahmenbau klimagerecht</w:t>
      </w:r>
    </w:p>
    <w:p>
      <w:r>
        <w:rPr>
          <w:color w:val="5A7D3A"/>
          <w:sz w:val="18"/>
        </w:rPr>
        <w:t>https://pubmed.ncbi.nlm.nih.gov/42900907/</w:t>
      </w:r>
    </w:p>
    <w:p>
      <w:pPr>
        <w:pStyle w:val="Heading2"/>
      </w:pPr>
      <w:r>
        <w:t>Soziale Benachteiligung, Luftverschmutzung und metabolische Gesundheit</w:t>
      </w:r>
    </w:p>
    <w:p>
      <w:r>
        <w:rPr>
          <w:i/>
          <w:color w:val="666666"/>
          <w:sz w:val="18"/>
        </w:rPr>
        <w:t>Ma Y et al.  ·  Front Endocrinol (Lausanne)  ·  30.09.2026  ·  PMID 42876562</w:t>
      </w:r>
    </w:p>
    <w:p>
      <w:r>
        <w:t>Multi-Datenbank-Observationsstudie zu gemeinsamen Assoziationen von Deprivation und Luftverschmutzung mit Leberfett und Adipositas bei Frauen mittleren und höheren Alters.</w:t>
      </w:r>
    </w:p>
    <w:p>
      <w:r>
        <w:rPr>
          <w:b/>
        </w:rPr>
        <w:t xml:space="preserve">Ergebnis: </w:t>
      </w:r>
      <w:r>
        <w:t>Bei 231.525 UK-Frauen: Jede Einheit höherer Deprivation assoziiert mit höherem Fatty Liver Index (β=1,114; 95%-KI 1,069–1,159) und höherer Odds für FLI≥60 (OR 1,080; 95%-KI 1,076–1,084). Luftverschmutzungseffekt auf FLI-Assoziation wurde nach Deprivationsadjustment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vergleichbares Klima und Versorgungssystem wie Deutschland</w:t>
      </w:r>
    </w:p>
    <w:p>
      <w:r>
        <w:rPr>
          <w:color w:val="5A7D3A"/>
          <w:sz w:val="18"/>
        </w:rPr>
        <w:t>https://pubmed.ncbi.nlm.nih.gov/42876562/</w:t>
      </w:r>
    </w:p>
    <w:p>
      <w:pPr>
        <w:pStyle w:val="Heading2"/>
      </w:pPr>
      <w:r>
        <w:t>Rückgang häufiger Arten gefährdet Ökosysteme weltweit</w:t>
      </w:r>
    </w:p>
    <w:p>
      <w:r>
        <w:rPr>
          <w:i/>
          <w:color w:val="666666"/>
          <w:sz w:val="18"/>
        </w:rPr>
        <w:t>Xu W et al.  ·  Nat Commun  ·  12.09.2026  ·  PMID 42869934</w:t>
      </w:r>
    </w:p>
    <w:p>
      <w:r>
        <w:t>Hierarchische Bayesian-Synthese von Populationstrends aus 4.748 Standorten über 129 Studien zu Häufigkeitsveränderungen von Arten in Reaktion auf Klimawandel und anthropogene Treiber.</w:t>
      </w:r>
    </w:p>
    <w:p>
      <w:r>
        <w:rPr>
          <w:b/>
        </w:rPr>
        <w:t xml:space="preserve">Ergebnis: </w:t>
      </w:r>
      <w:r>
        <w:t>Konsistent stärkerer Rückgang anfangs häufiger Arten in Marine- und Terrestrisch-Ökosystemen; Süßwasser zeigt kein klares Muster. Klimaerwärmung und nicht-klimatische Menschendruck modulierten Trends, mit teilweise attenuierendem Effekt auf Verluste häufiger Arten (marine Systeme).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 mit Klimawandelbezug; funktionale Konsequenzen für Planetary Health relevant</w:t>
      </w:r>
    </w:p>
    <w:p>
      <w:r>
        <w:rPr>
          <w:color w:val="5A7D3A"/>
          <w:sz w:val="18"/>
        </w:rPr>
        <w:t>https://pubmed.ncbi.nlm.nih.gov/42869934/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