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23.10.2026  |  372 Studien  |  klima.m-vf.de</w:t>
      </w:r>
    </w:p>
    <w:p>
      <w:pPr>
        <w:pStyle w:val="Heading1"/>
      </w:pPr>
      <w:r>
        <w:t>Aufgenommen am 23.10.2026</w:t>
      </w:r>
    </w:p>
    <w:p>
      <w:pPr>
        <w:pStyle w:val="Heading2"/>
      </w:pPr>
      <w:r>
        <w:t>PM₂,₅-Exposition erhöht Sterblichkeit bei älteren Menschen in Beijing</w:t>
      </w:r>
    </w:p>
    <w:p>
      <w:r>
        <w:rPr>
          <w:i/>
          <w:color w:val="666666"/>
          <w:sz w:val="18"/>
        </w:rPr>
        <w:t>Wan YH et al.  ·  Zhonghua Liu Xing Bing Xue Za Zhi  ·  10.10.2026  ·  PMID 42907183</w:t>
      </w:r>
    </w:p>
    <w:p>
      <w:r>
        <w:t>Kohortenstudie mit 3.472 älteren Stadtbewohnern in Beijing analysierte Assoziationen zwischen Feinstaubexposition (2010–2014) und all-cause sowie kardiovaskulärer Mortalität mit Analyse von Interaktionen mit körperlicher Aktivität.</w:t>
      </w:r>
    </w:p>
    <w:p>
      <w:r>
        <w:rPr>
          <w:b/>
        </w:rPr>
        <w:t xml:space="preserve">Ergebnis: </w:t>
      </w:r>
      <w:r>
        <w:t>Jede 1 μg/m³ PM₂,₅-Steigerung erhöhte All-cause-Mortalitätsrisiko um 5,3 % (HR=1,053; 95%-KI: 1,026–1,080) und kardiovaskuläres Risiko um 4,6 % (HR=1,046; 95%-KI: 1,001–1,100). Ohne Außenaktivität: 8,7 % Risikoerhöhung; mit regelmäßiger Aktivität: nur 2,6 % Erhöhung. Mittlere PM₂,₅-Konzentration war 79,80 μg/m³ (WHO-Grenzwert: 35 μg/m³).</w:t>
      </w:r>
    </w:p>
    <w:p>
      <w:r>
        <w:rPr>
          <w:b/>
          <w:sz w:val="19"/>
        </w:rPr>
        <w:t xml:space="preserve">Übertragbarkeit: </w:t>
      </w:r>
      <w:r>
        <w:rPr>
          <w:sz w:val="19"/>
        </w:rPr>
        <w:t>China, gemäßigte Zone; Dosis-Wirkungs-Beziehung erkennbar, absolute Schwellenwerte nicht auf Deutschland übertragbar</w:t>
      </w:r>
    </w:p>
    <w:p>
      <w:r>
        <w:rPr>
          <w:color w:val="5A7D3A"/>
          <w:sz w:val="18"/>
        </w:rPr>
        <w:t>https://pubmed.ncbi.nlm.nih.gov/42907183/</w:t>
      </w:r>
    </w:p>
    <w:p>
      <w:pPr>
        <w:pStyle w:val="Heading2"/>
      </w:pPr>
      <w:r>
        <w:t>Klimastress und Infektionen gefährden Arbeiter in Niedriglohnländern</w:t>
      </w:r>
    </w:p>
    <w:p>
      <w:r>
        <w:rPr>
          <w:i/>
          <w:color w:val="666666"/>
          <w:sz w:val="18"/>
        </w:rPr>
        <w:t>Odud MA et al.  ·  PLoS One  ·  21.10.2026  ·  PMID 42905761</w:t>
      </w:r>
    </w:p>
    <w:p>
      <w:r>
        <w:t>Scoping Review (PRISMA-ScR; 10 von 612 geprüften Quellen) untersuchte Konvergenz von klimabezogenen und infektionsbezogenen Stressoren und deren Auswirkungen auf Arbeiter in Hochrisikoberufen (2020–2025).</w:t>
      </w:r>
    </w:p>
    <w:p>
      <w:r>
        <w:rPr>
          <w:b/>
        </w:rPr>
        <w:t xml:space="preserve">Ergebnis: </w:t>
      </w:r>
      <w:r>
        <w:t>Klima- und Infektionsstressoren verstärken sich gegenseitig und erhöhen physische, umweltbezogene und psychosoziale Belastungen. Besonders gefährdet: Migrantenarbeiter, informal Beschäftigte, Niedrigeinkommensgruppen, Ältere, Frauen und Saisonarbeiter. Nur 9 % der Studien beinhalteten Schutzmaßnahmen; fragmentierte Politikansätze.</w:t>
      </w:r>
    </w:p>
    <w:p>
      <w:r>
        <w:rPr>
          <w:b/>
          <w:sz w:val="19"/>
        </w:rPr>
        <w:t xml:space="preserve">Übertragbarkeit: </w:t>
      </w:r>
      <w:r>
        <w:rPr>
          <w:sz w:val="19"/>
        </w:rPr>
        <w:t>Globale Perspektive; Vulnerabilitätsmuster und integrierte Ansätze methodisch übertragbar auf Deutschland</w:t>
      </w:r>
    </w:p>
    <w:p>
      <w:r>
        <w:rPr>
          <w:color w:val="5A7D3A"/>
          <w:sz w:val="18"/>
        </w:rPr>
        <w:t>https://pubmed.ncbi.nlm.nih.gov/42905761/</w:t>
      </w:r>
    </w:p>
    <w:p>
      <w:pPr>
        <w:pStyle w:val="Heading2"/>
      </w:pPr>
      <w:r>
        <w:t>Innenraumhitze erhöht Mortalitätsrisiko stärker als Außentemperatur</w:t>
      </w:r>
    </w:p>
    <w:p>
      <w:r>
        <w:rPr>
          <w:i/>
          <w:color w:val="666666"/>
          <w:sz w:val="18"/>
        </w:rPr>
        <w:t>Ibbetson A et al.  ·  Risk Anal  ·  Nov. 2026  ·  PMID 42904486</w:t>
      </w:r>
    </w:p>
    <w:p>
      <w:r>
        <w:t>Mathematische Modellierungsstudie entwickelt neuartigen Ansatz zur Abbildung von Innenraumhitze-Mortalitäts-Beziehungen auf Basis epidemiologischer Außentemperatur-Daten unter Berücksichtigung der Gebäudedämmung.</w:t>
      </w:r>
    </w:p>
    <w:p>
      <w:r>
        <w:rPr>
          <w:b/>
        </w:rPr>
        <w:t xml:space="preserve">Ergebnis: </w:t>
      </w:r>
      <w:r>
        <w:t>Modell zeigt, dass Änderungen der Innenraumtemperatur stärkere Mortalitätsveränderungen bewirken als gleiche Außentemperaturänderungen. Dies liegt an der modifizierenden Wirkung von Gebäuden auf die Temperaturexposition und hat Implikationen für die Bewertung von Gesundheitseffekten bei Innenraum-Hitzeexposition.</w:t>
      </w:r>
    </w:p>
    <w:p>
      <w:r>
        <w:rPr>
          <w:b/>
          <w:sz w:val="19"/>
        </w:rPr>
        <w:t xml:space="preserve">Übertragbarkeit: </w:t>
      </w:r>
      <w:r>
        <w:rPr>
          <w:sz w:val="19"/>
        </w:rPr>
        <w:t>Großbritannien; theoretischer Rahmen universal, gebäudespezifische Parameter müssen für Deutschland angepasst werden</w:t>
      </w:r>
    </w:p>
    <w:p>
      <w:r>
        <w:rPr>
          <w:color w:val="5A7D3A"/>
          <w:sz w:val="18"/>
        </w:rPr>
        <w:t>https://pubmed.ncbi.nlm.nih.gov/42904486/</w:t>
      </w:r>
    </w:p>
    <w:p>
      <w:pPr>
        <w:pStyle w:val="Heading2"/>
      </w:pPr>
      <w:r>
        <w:t>Extremtemperaturen erhöhen Arbeitsunfälle in lateinamerikanischer Metropole</w:t>
      </w:r>
    </w:p>
    <w:p>
      <w:r>
        <w:rPr>
          <w:i/>
          <w:color w:val="666666"/>
          <w:sz w:val="18"/>
        </w:rPr>
        <w:t>Vilasau R et al.  ·  Environ Res  ·  15.11.2026  ·  PMID 42838200</w:t>
      </w:r>
    </w:p>
    <w:p>
      <w:r>
        <w:t>Fallüberkreuzungs-Studie mit 603.676 Arbeitsunfällen in Santiago untersuchte Hitzewellen- und Kälteeffekte auf Verletzungsrisiken in verschiedenen Wirtschaftssektoren (2012–2019).</w:t>
      </w:r>
    </w:p>
    <w:p>
      <w:r>
        <w:rPr>
          <w:b/>
        </w:rPr>
        <w:t xml:space="preserve">Ergebnis: </w:t>
      </w:r>
      <w:r>
        <w:t>Extreme Hitze erhöhte das Verletzungsrisiko im Hotel-Sektor (RR=1,36; 95%-KI: 1,09–1,70) und Verkehr (RR=1,25; 95%-KI: 1,02–1,53). Extreme Kälte erhöhte Risiko in Industrie (RR=1,18; 95%-KI: 1,06–1,32) und Bau (RR=1,12; 95%-KI: 1,02–1,24). Insgesamt 5.542 Verletzungen waren auf nicht-optimale Temperaturen zurückzuführen.</w:t>
      </w:r>
    </w:p>
    <w:p>
      <w:r>
        <w:rPr>
          <w:b/>
          <w:sz w:val="19"/>
        </w:rPr>
        <w:t xml:space="preserve">Übertragbarkeit: </w:t>
      </w:r>
      <w:r>
        <w:rPr>
          <w:sz w:val="19"/>
        </w:rPr>
        <w:t>Südamerika, temperate Zone; Methodik und Sektor-Differenzierung übertragbar, absolute Schwellenwerte nicht</w:t>
      </w:r>
    </w:p>
    <w:p>
      <w:r>
        <w:rPr>
          <w:color w:val="5A7D3A"/>
          <w:sz w:val="18"/>
        </w:rPr>
        <w:t>https://pubmed.ncbi.nlm.nih.gov/42838200/</w:t>
      </w:r>
    </w:p>
    <w:p>
      <w:pPr>
        <w:pStyle w:val="Heading2"/>
      </w:pPr>
      <w:r>
        <w:t>Wüstenstaub und Hitze verschlechtern Lungenfunktion bei Kindern mit Asthma</w:t>
      </w:r>
    </w:p>
    <w:p>
      <w:r>
        <w:rPr>
          <w:i/>
          <w:color w:val="666666"/>
          <w:sz w:val="18"/>
        </w:rPr>
        <w:t>Qian Y et al.  ·  Environ Res  ·  15.11.2026  ·  PMID 42838195</w:t>
      </w:r>
    </w:p>
    <w:p>
      <w:r>
        <w:t>Sekundäranalyse untersuchte Assoziationen zwischen Wüstenstaubexposition, Temperatur und Lungenfunktion bei 135 asthmatischen Kindern in Zypern und Kreta während der Staubsaison 2019 und 2021.</w:t>
      </w:r>
    </w:p>
    <w:p>
      <w:r>
        <w:rPr>
          <w:b/>
        </w:rPr>
        <w:t xml:space="preserve">Ergebnis: </w:t>
      </w:r>
      <w:r>
        <w:t>Kumulativer Wüstenstaub war mit -3,52 mL (95%-KI: -5,90, -1,14) FEV₁-Abnahme pro Staubtag verbunden. Temperaturanstieg um 5 °C war mit -19,77 mL FEV₁-Abnahme (95%-KI: -37,91, -1,63) und -0,81 % FEV₁/FVC-Reduktion (95%-KI: -1,36, -0,25) assoziiert. Sowohl Staubexposition als auch Hitze zeigten inverse Assoziationen mit Lungenfunktionsparametern.</w:t>
      </w:r>
    </w:p>
    <w:p>
      <w:r>
        <w:rPr>
          <w:b/>
          <w:sz w:val="19"/>
        </w:rPr>
        <w:t xml:space="preserve">Übertragbarkeit: </w:t>
      </w:r>
      <w:r>
        <w:rPr>
          <w:sz w:val="19"/>
        </w:rPr>
        <w:t>Südeuropa; Klimazone und Expositionspathways relevant für Mittelmeerregion, Übertragung auf Deutschland begrenzt</w:t>
      </w:r>
    </w:p>
    <w:p>
      <w:r>
        <w:rPr>
          <w:color w:val="5A7D3A"/>
          <w:sz w:val="18"/>
        </w:rPr>
        <w:t>https://pubmed.ncbi.nlm.nih.gov/42838195/</w:t>
      </w:r>
    </w:p>
    <w:p>
      <w:pPr>
        <w:pStyle w:val="Heading1"/>
      </w:pPr>
      <w:r>
        <w:t>Aufgenommen am 22.10.2026</w:t>
      </w:r>
    </w:p>
    <w:p>
      <w:pPr>
        <w:pStyle w:val="Heading2"/>
      </w:pPr>
      <w:r>
        <w:t>Extremtemperaturen und Barrierefunktion: Mechanismen der Krankheitsentstehung</w:t>
      </w:r>
    </w:p>
    <w:p>
      <w:r>
        <w:rPr>
          <w:i/>
          <w:color w:val="666666"/>
          <w:sz w:val="18"/>
        </w:rPr>
        <w:t>Ogulur I et al.  ·  Semin Immunopathol  ·  20.10.2026  ·  PMID 42902042</w:t>
      </w:r>
    </w:p>
    <w:p>
      <w:r>
        <w:t>Narrative Übersichtsarbeit über die Mechanismen, durch die Hitze und Kälte die Epithelbarriere schädigen und über veränderte Barrierefunktion zu nichtübertragbaren Erkrankungen führen.</w:t>
      </w:r>
    </w:p>
    <w:p>
      <w:r>
        <w:rPr>
          <w:b/>
        </w:rPr>
        <w:t xml:space="preserve">Ergebnis: </w:t>
      </w:r>
      <w:r>
        <w:t>Extreme Temperaturen beeinträchtigen die Tight-Junction-Regulation, verursachen oxidativen Stress, Apoptose und Entzündung sowie Mikrobiom-Dysbiose – Effekte, die durch Luftverschmutzung, UV-Strahlung und Waldbrände verstärkt werden. Epidemiologische Evidenz zeigt Assoziationen zwischen Hitzewellen und Krankheitsexazerbationen sowie zwischen Kälteexposition und Infektions- oder Allergiereaktionen.</w:t>
      </w:r>
    </w:p>
    <w:p>
      <w:r>
        <w:rPr>
          <w:b/>
          <w:sz w:val="19"/>
        </w:rPr>
        <w:t xml:space="preserve">Übertragbarkeit: </w:t>
      </w:r>
      <w:r>
        <w:rPr>
          <w:sz w:val="19"/>
        </w:rPr>
        <w:t>Systematische Pathophysiologie, Klimazone-unabhängig; Grundlage für Verständnis europäischer Hitzefolgen</w:t>
      </w:r>
    </w:p>
    <w:p>
      <w:r>
        <w:rPr>
          <w:color w:val="5A7D3A"/>
          <w:sz w:val="18"/>
        </w:rPr>
        <w:t>https://pubmed.ncbi.nlm.nih.gov/42902042/</w:t>
      </w:r>
    </w:p>
    <w:p>
      <w:pPr>
        <w:pStyle w:val="Heading2"/>
      </w:pPr>
      <w:r>
        <w:t>Neuausrichtung der Public Health angesichts von Klimawandel und Urbanisierung</w:t>
      </w:r>
    </w:p>
    <w:p>
      <w:r>
        <w:rPr>
          <w:i/>
          <w:color w:val="666666"/>
          <w:sz w:val="18"/>
        </w:rPr>
        <w:t>Galea S  ·  Lancet Public Health  ·  Nov. 2026  ·  PMID 42901192</w:t>
      </w:r>
    </w:p>
    <w:p>
      <w:r>
        <w:t>Essay des renommierten Public-Health-Experten über fünf Megatrends – Bevölkerungsalterung, Urbanisierung, Klimawandel, verändernde Institutionenvertrauen, transformative Technologien – und fünf daraus folgende strategische Aspirationen für die Gesundheitspolitik.</w:t>
      </w:r>
    </w:p>
    <w:p>
      <w:r>
        <w:rPr>
          <w:b/>
        </w:rPr>
        <w:t xml:space="preserve">Ergebnis: </w:t>
      </w:r>
      <w:r>
        <w:t>Zentrale Befunde: Klimawandel ist neben Bevölkerungsalterung und Urbanisierung einer der drei Haupttreiber für den Wandel der Krankheitslast (Zunahme nichtübertragbarer Erkrankungen, neurologische Erkrankungen, instabilere Infektionskrankheiten). Public Health muss sich auf Prävention nichtübertragbarer Krankheiten, Gesundheitsgerechtigkeit und Krisenresilienz konzentrieren.</w:t>
      </w:r>
    </w:p>
    <w:p>
      <w:r>
        <w:rPr>
          <w:b/>
          <w:sz w:val="19"/>
        </w:rPr>
        <w:t xml:space="preserve">Übertragbarkeit: </w:t>
      </w:r>
      <w:r>
        <w:rPr>
          <w:sz w:val="19"/>
        </w:rPr>
        <w:t>Globale Public-Health-Strategie; Rahmensetzung für deutsche Gesundheitspolitik</w:t>
      </w:r>
    </w:p>
    <w:p>
      <w:r>
        <w:rPr>
          <w:color w:val="5A7D3A"/>
          <w:sz w:val="18"/>
        </w:rPr>
        <w:t>https://pubmed.ncbi.nlm.nih.gov/42901192/</w:t>
      </w:r>
    </w:p>
    <w:p>
      <w:pPr>
        <w:pStyle w:val="Heading2"/>
      </w:pPr>
      <w:r>
        <w:t>Nachhaltigkeitsschulung in der Notfallmedizin: Effekte auf Wissen und Verhalten</w:t>
      </w:r>
    </w:p>
    <w:p>
      <w:r>
        <w:rPr>
          <w:i/>
          <w:color w:val="666666"/>
          <w:sz w:val="18"/>
        </w:rPr>
        <w:t>Ashkezari AD et al.  ·  West J Emerg Med  ·  10.08.2026  ·  PMID 42900914</w:t>
      </w:r>
    </w:p>
    <w:p>
      <w:r>
        <w:t>Prospektive Vor-Nachher-Studie zur Wirksamkeit eines Kurzvideos über nachhaltige Klinikpraxis bei US-amerikanischen Notfallmedizinern (N=34).</w:t>
      </w:r>
    </w:p>
    <w:p>
      <w:r>
        <w:rPr>
          <w:b/>
        </w:rPr>
        <w:t xml:space="preserve">Ergebnis: </w:t>
      </w:r>
      <w:r>
        <w:t>Wissenswerte stiegen von 55,0% auf 68,0% unmittelbar nach der Intervention (p&lt;0,001) und blieben bei 65,0% nach einem Monat erhöht (p=0,003). Einstellungen verbesserten sich signifikant (p=0,001). Bei Verhaltensänderungen zeigten sich Verbesserungen: bevorzugte Verordnung von Pulverinhalatoren stieg von 12,0% auf 37,0% (p&lt;0,050), Müllvermeidungsbestrebungen von 56,0% auf 87,0% (p&lt;0,050).</w:t>
      </w:r>
    </w:p>
    <w:p>
      <w:r>
        <w:rPr>
          <w:b/>
          <w:sz w:val="19"/>
        </w:rPr>
        <w:t xml:space="preserve">Übertragbarkeit: </w:t>
      </w:r>
      <w:r>
        <w:rPr>
          <w:sz w:val="19"/>
        </w:rPr>
        <w:t>USA-Gesundheitswesen, aber Transfer-Methodik auf deutsches Klinikmanagement anwendbar</w:t>
      </w:r>
    </w:p>
    <w:p>
      <w:r>
        <w:rPr>
          <w:color w:val="5A7D3A"/>
          <w:sz w:val="18"/>
        </w:rPr>
        <w:t>https://pubmed.ncbi.nlm.nih.gov/42900914/</w:t>
      </w:r>
    </w:p>
    <w:p>
      <w:pPr>
        <w:pStyle w:val="Heading2"/>
      </w:pPr>
      <w:r>
        <w:t>Erhitzte Tabakprodukte: Reduktion von Emissionen ohne bewiesene klinische Vorteile</w:t>
      </w:r>
    </w:p>
    <w:p>
      <w:r>
        <w:rPr>
          <w:i/>
          <w:color w:val="666666"/>
          <w:sz w:val="18"/>
        </w:rPr>
        <w:t>Bisht A et al.  ·  Front Public Health  ·  21.09.2026  ·  PMID 42835745</w:t>
      </w:r>
    </w:p>
    <w:p>
      <w:r>
        <w:t>Narrative Übersichtsarbeit zu Zusammensetzung, Exposition und Gesundheitsfolgen erhitzter Tabakprodukte (HTPs) im Vergleich zu Zigaretten auf vier Ebenen: Produktemissionen, Biomarker der Humanexposition, individuelle Krankheitsrisiken und Bevölkerungsgesundheitsfolgen.</w:t>
      </w:r>
    </w:p>
    <w:p>
      <w:r>
        <w:rPr>
          <w:b/>
        </w:rPr>
        <w:t xml:space="preserve">Ergebnis: </w:t>
      </w:r>
      <w:r>
        <w:t>HTPs reduzieren zwar einige Verbrennungstoxine im Vergleich zu Zigaretten, sind aber nicht risikofrei. Reduzierte Emissionen und Biomarker belegen nicht automatisch reduzierte klinische Erkrankungen oder Mortalität. Die Bevölkerungsgesundheitsfolgen hängen ab von: Aufnahmemuster, sozialen Kontexten, Nutzungsfrequenz, exklusiv vs. Dual-Konsum, Vorerkrankungen, regulatorischer Umgebung. Bisher keine ausreichende Langzeitepidemiologie.</w:t>
      </w:r>
    </w:p>
    <w:p>
      <w:r>
        <w:rPr>
          <w:b/>
          <w:sz w:val="19"/>
        </w:rPr>
        <w:t xml:space="preserve">Übertragbarkeit: </w:t>
      </w:r>
      <w:r>
        <w:rPr>
          <w:sz w:val="19"/>
        </w:rPr>
        <w:t>Globale Evidenz, Methodik auf deutsches Tabakkontroll-Setting übertragbar</w:t>
      </w:r>
    </w:p>
    <w:p>
      <w:r>
        <w:rPr>
          <w:color w:val="5A7D3A"/>
          <w:sz w:val="18"/>
        </w:rPr>
        <w:t>https://pubmed.ncbi.nlm.nih.gov/42835745/</w:t>
      </w:r>
    </w:p>
    <w:p>
      <w:pPr>
        <w:pStyle w:val="Heading2"/>
      </w:pPr>
      <w:r>
        <w:t>Social Prescribing: Gemeinderessourcen als Antwort auf Systemlastgrenzen</w:t>
      </w:r>
    </w:p>
    <w:p>
      <w:r>
        <w:rPr>
          <w:i/>
          <w:color w:val="666666"/>
          <w:sz w:val="18"/>
        </w:rPr>
        <w:t>Mulligan K  ·  Healthc Pap  ·  Juni 2026  ·  PMID 42834014</w:t>
      </w:r>
    </w:p>
    <w:p>
      <w:r>
        <w:t>Strategiepapier über Social Prescribing als strukturierte Verbindung von Patient:innen mit Gemeinderessourcen durch Linkworker; Analyse für kanadisches Gesundheitssystem unter Berücksichtigung von Klimawandel-Resilienz und Health Equity.</w:t>
      </w:r>
    </w:p>
    <w:p>
      <w:r>
        <w:rPr>
          <w:b/>
        </w:rPr>
        <w:t xml:space="preserve">Ergebnis: </w:t>
      </w:r>
      <w:r>
        <w:t>Modellierung zeigt potenziellen ROI von 4,43 Dollar pro investiertem Dollar. Kanadas System ist an Grenzen angekommen (400 Mrd. CA$/Jahr, 20% ohne Hausarzt, Notfalloverlauf, persistente Health Inequities). Social Prescribing adressiert Systemlastgrenzen durch Umleitung öffentlicher Investitionen in Gemeindeinfrastruktur und bietet Resilienz gegen Klimawandel, Handelsinstabilität und geopolitische Unsicherheit.</w:t>
      </w:r>
    </w:p>
    <w:p>
      <w:r>
        <w:rPr>
          <w:b/>
          <w:sz w:val="19"/>
        </w:rPr>
        <w:t xml:space="preserve">Übertragbarkeit: </w:t>
      </w:r>
      <w:r>
        <w:rPr>
          <w:sz w:val="19"/>
        </w:rPr>
        <w:t>Kanada (gemäßigte Klimazone, hohe Systemvergleichbarkeit mit Deutschland)</w:t>
      </w:r>
    </w:p>
    <w:p>
      <w:r>
        <w:rPr>
          <w:color w:val="5A7D3A"/>
          <w:sz w:val="18"/>
        </w:rPr>
        <w:t>https://pubmed.ncbi.nlm.nih.gov/42834014/</w:t>
      </w:r>
    </w:p>
    <w:p>
      <w:pPr>
        <w:pStyle w:val="Heading2"/>
      </w:pPr>
      <w:r>
        <w:t>Expertenkonsens für vergleichbare Messung von Passivrauchexposition</w:t>
      </w:r>
    </w:p>
    <w:p>
      <w:r>
        <w:rPr>
          <w:i/>
          <w:color w:val="666666"/>
          <w:sz w:val="18"/>
        </w:rPr>
        <w:t>Teijeiro A et al.  ·  Pulmonology  ·  21.08.2026  ·  PMID 42625490</w:t>
      </w:r>
    </w:p>
    <w:p>
      <w:r>
        <w:t>Zwei-Runden-Delphi-Studie mit Expert:innen aus Portugal und Brasilien zur Standardisierung von Fragebogenkonzepten für Passivrauch-Exposition in epidemiologischen Erhebungen.</w:t>
      </w:r>
    </w:p>
    <w:p>
      <w:r>
        <w:rPr>
          <w:b/>
        </w:rPr>
        <w:t xml:space="preserve">Ergebnis: </w:t>
      </w:r>
      <w:r>
        <w:t>Expert:innen einigten sich auf zentrale Messkonzepte: Exposition sollte in spezifischen Settings erfasst werden (Zuhause, Arbeitsplatz, öffentliche/private Verkehrsmittel, Freizeit); Recall-Fragen sollten Stunden indoors/outdoors an Arbeits- und Nicht-Arbeitstagen im letzten Monat abfragen; Expositionsintensität durch Raucheranteil oder wahrgenommene Rauchbelastung beurteilt werden. Länderunterschiede waren minimal. Standardisierte Fragebogen ermöglichen vergleichbare Datenerhebung für evidenzbasierte Tabakpolitik.</w:t>
      </w:r>
    </w:p>
    <w:p>
      <w:r>
        <w:rPr>
          <w:b/>
          <w:sz w:val="19"/>
        </w:rPr>
        <w:t xml:space="preserve">Übertragbarkeit: </w:t>
      </w:r>
      <w:r>
        <w:rPr>
          <w:sz w:val="19"/>
        </w:rPr>
        <w:t>Portugal (EU-Mitgliedstaat), vergleichbares Gesundheitswesen und Klimazone</w:t>
      </w:r>
    </w:p>
    <w:p>
      <w:r>
        <w:rPr>
          <w:color w:val="5A7D3A"/>
          <w:sz w:val="18"/>
        </w:rPr>
        <w:t>https://pubmed.ncbi.nlm.nih.gov/42625490/</w:t>
      </w:r>
    </w:p>
    <w:p>
      <w:pPr>
        <w:pStyle w:val="Heading1"/>
      </w:pPr>
      <w:r>
        <w:t>Aufgenommen am 21.10.2026</w:t>
      </w:r>
    </w:p>
    <w:p>
      <w:pPr>
        <w:pStyle w:val="Heading2"/>
      </w:pPr>
      <w:r>
        <w:t>Hitzebedingte Erkrankungen bei älteren Menschen und Notfallmedizin</w:t>
      </w:r>
    </w:p>
    <w:p>
      <w:r>
        <w:rPr>
          <w:i/>
          <w:color w:val="666666"/>
          <w:sz w:val="18"/>
        </w:rPr>
        <w:t>Simon EL et al.  ·  West J Emerg Med  ·  17.08.2026  ·  PMID 42900944</w:t>
      </w:r>
    </w:p>
    <w:p>
      <w:r>
        <w:t>Narrative Review zu Vulnerabilität älterer Erwachsener gegenüber extremer Hitze und deren Folgen für Notaufnahmen sowie klinische und Public-Health-Strategien.</w:t>
      </w:r>
    </w:p>
    <w:p>
      <w:r>
        <w:rPr>
          <w:b/>
        </w:rPr>
        <w:t xml:space="preserve">Ergebnis: </w:t>
      </w:r>
      <w:r>
        <w:t>Älter Menschen zeigen erhöhte Hitzesterblichkeit und -morbidität durch physiologische Alterungsprozesse, Komorbiditäten und Polypharmaka. Empfohlen werden proaktive Prävention, frühe Erkennung und koordinierte Gemeinschaftsinterventionen als essentiell.</w:t>
      </w:r>
    </w:p>
    <w:p>
      <w:r>
        <w:rPr>
          <w:b/>
          <w:sz w:val="19"/>
        </w:rPr>
        <w:t xml:space="preserve">Übertragbarkeit: </w:t>
      </w:r>
      <w:r>
        <w:rPr>
          <w:sz w:val="19"/>
        </w:rPr>
        <w:t>USA, gemäßigte Klimazone, Methodik und Risikogruppen-Prinzipien übertragbar</w:t>
      </w:r>
    </w:p>
    <w:p>
      <w:r>
        <w:rPr>
          <w:color w:val="5A7D3A"/>
          <w:sz w:val="18"/>
        </w:rPr>
        <w:t>https://pubmed.ncbi.nlm.nih.gov/42900944/</w:t>
      </w:r>
    </w:p>
    <w:p>
      <w:pPr>
        <w:pStyle w:val="Heading2"/>
      </w:pPr>
      <w:r>
        <w:t>Steigende Temperaturen und Traumapräsentationen in der Notaufnahme</w:t>
      </w:r>
    </w:p>
    <w:p>
      <w:r>
        <w:rPr>
          <w:i/>
          <w:color w:val="666666"/>
          <w:sz w:val="18"/>
        </w:rPr>
        <w:t>Mosley GE et al.  ·  West J Emerg Med  ·  24.09.2026  ·  PMID 42900920</w:t>
      </w:r>
    </w:p>
    <w:p>
      <w:r>
        <w:t>Retrospektive Kohortenstudie zur Assoziation zwischen Tagestemperatur und Traumafallaufkommen, stratifiziert nach Verletzungsmechanismus.</w:t>
      </w:r>
    </w:p>
    <w:p>
      <w:r>
        <w:rPr>
          <w:b/>
        </w:rPr>
        <w:t xml:space="preserve">Ergebnis: </w:t>
      </w:r>
      <w:r>
        <w:t>Beide maximale und minimale Tagestemperaturen korrelierten positiv mit Traumaaktivierungen. Gewalttaten zeigten stärkste Assoziation: Im höchsten Temperaturquintil (&gt;83 °F) 83 % höhere Gewalttaumata (IRR 1,83; 95%-KI 1,46–2,29) vs. niedrigstem Quintil.</w:t>
      </w:r>
    </w:p>
    <w:p>
      <w:r>
        <w:rPr>
          <w:b/>
          <w:sz w:val="19"/>
        </w:rPr>
        <w:t xml:space="preserve">Übertragbarkeit: </w:t>
      </w:r>
      <w:r>
        <w:rPr>
          <w:sz w:val="19"/>
        </w:rPr>
        <w:t>USA-Daten, gemäßigte Klimazone; epidemiologische Methodik auf Deutschland übertragbar</w:t>
      </w:r>
    </w:p>
    <w:p>
      <w:r>
        <w:rPr>
          <w:color w:val="5A7D3A"/>
          <w:sz w:val="18"/>
        </w:rPr>
        <w:t>https://pubmed.ncbi.nlm.nih.gov/42900920/</w:t>
      </w:r>
    </w:p>
    <w:p>
      <w:pPr>
        <w:pStyle w:val="Heading2"/>
      </w:pPr>
      <w:r>
        <w:t>Kühlung mit Eiswasserbeuteln bei Hitzschlag im Notfalleinsatz</w:t>
      </w:r>
    </w:p>
    <w:p>
      <w:r>
        <w:rPr>
          <w:i/>
          <w:color w:val="666666"/>
          <w:sz w:val="18"/>
        </w:rPr>
        <w:t>Zashin D et al.  ·  West J Emerg Med  ·  05.09.2026  ·  PMID 42900913</w:t>
      </w:r>
    </w:p>
    <w:p>
      <w:r>
        <w:t>Randomisierte Crossover-Studie zur Abkühlungsrate bei Patienten mit belastungsbedingter Hyperthermie mittels Eiswasserbeutel gegenüber Kontrollbedingung.</w:t>
      </w:r>
    </w:p>
    <w:p>
      <w:r>
        <w:rPr>
          <w:b/>
        </w:rPr>
        <w:t xml:space="preserve">Ergebnis: </w:t>
      </w:r>
      <w:r>
        <w:t>Eiswasserbeutel (partielle Immersion) erreichten Abkühlungsrate von 0,102 °C/min vs. 0,040 °C/min in Kontrolle (95%-KI 0,030–0,095; p=0,002). Kühlzeit 13,2 min vs. 27,6 min (p=0,002).</w:t>
      </w:r>
    </w:p>
    <w:p>
      <w:r>
        <w:rPr>
          <w:b/>
          <w:sz w:val="19"/>
        </w:rPr>
        <w:t xml:space="preserve">Übertragbarkeit: </w:t>
      </w:r>
      <w:r>
        <w:rPr>
          <w:sz w:val="19"/>
        </w:rPr>
        <w:t>USA, praktische Notfall-Intervention; Methode für Hitzschlag-Protokolle relevant</w:t>
      </w:r>
    </w:p>
    <w:p>
      <w:r>
        <w:rPr>
          <w:color w:val="5A7D3A"/>
          <w:sz w:val="18"/>
        </w:rPr>
        <w:t>https://pubmed.ncbi.nlm.nih.gov/42900913/</w:t>
      </w:r>
    </w:p>
    <w:p>
      <w:pPr>
        <w:pStyle w:val="Heading2"/>
      </w:pPr>
      <w:r>
        <w:t>Gerechtigkeit und Chancengleichheit in klimabedingten Katastrophen</w:t>
      </w:r>
    </w:p>
    <w:p>
      <w:r>
        <w:rPr>
          <w:i/>
          <w:color w:val="666666"/>
          <w:sz w:val="18"/>
        </w:rPr>
        <w:t>Mundo W et al.  ·  West J Emerg Med  ·  10.08.2026  ·  PMID 42900907</w:t>
      </w:r>
    </w:p>
    <w:p>
      <w:r>
        <w:t>Narrative Review zu Verdrängung und Vulnerabilität durch klimabedingte Katastrophen mit fokus auf Implementationswissenschaft und Equity in Notfall- und Recovery-Prozessen.</w:t>
      </w:r>
    </w:p>
    <w:p>
      <w:r>
        <w:rPr>
          <w:b/>
        </w:rPr>
        <w:t xml:space="preserve">Ergebnis: </w:t>
      </w:r>
      <w:r>
        <w:t>Studie identifiziert Sprachenbarrieren, Fragmentierung von Recovery-Maßnahmen und unzureichende Dokumentation als zentrale operative Hürden. Empfohlen: mehrsprachige Warnsysteme, Dolmetscher-bereite Triage, mobile Kliniken und Policy-Änderungen für vulnerable Gruppen.</w:t>
      </w:r>
    </w:p>
    <w:p>
      <w:r>
        <w:rPr>
          <w:b/>
          <w:sz w:val="19"/>
        </w:rPr>
        <w:t xml:space="preserve">Übertragbarkeit: </w:t>
      </w:r>
      <w:r>
        <w:rPr>
          <w:sz w:val="19"/>
        </w:rPr>
        <w:t>USA/Kanada, Implementationsmethoden und Equity-Rahmenbau klimagerecht</w:t>
      </w:r>
    </w:p>
    <w:p>
      <w:r>
        <w:rPr>
          <w:color w:val="5A7D3A"/>
          <w:sz w:val="18"/>
        </w:rPr>
        <w:t>https://pubmed.ncbi.nlm.nih.gov/42900907/</w:t>
      </w:r>
    </w:p>
    <w:p>
      <w:pPr>
        <w:pStyle w:val="Heading2"/>
      </w:pPr>
      <w:r>
        <w:t>Soziale Benachteiligung, Luftverschmutzung und metabolische Gesundheit</w:t>
      </w:r>
    </w:p>
    <w:p>
      <w:r>
        <w:rPr>
          <w:i/>
          <w:color w:val="666666"/>
          <w:sz w:val="18"/>
        </w:rPr>
        <w:t>Ma Y et al.  ·  Front Endocrinol (Lausanne)  ·  30.09.2026  ·  PMID 42876562</w:t>
      </w:r>
    </w:p>
    <w:p>
      <w:r>
        <w:t>Multi-Datenbank-Observationsstudie zu gemeinsamen Assoziationen von Deprivation und Luftverschmutzung mit Leberfett und Adipositas bei Frauen mittleren und höheren Alters.</w:t>
      </w:r>
    </w:p>
    <w:p>
      <w:r>
        <w:rPr>
          <w:b/>
        </w:rPr>
        <w:t xml:space="preserve">Ergebnis: </w:t>
      </w:r>
      <w:r>
        <w:t>Bei 231.525 UK-Frauen: Jede Einheit höherer Deprivation assoziiert mit höherem Fatty Liver Index (β=1,114; 95%-KI 1,069–1,159) und höherer Odds für FLI≥60 (OR 1,080; 95%-KI 1,076–1,084). Luftverschmutzungseffekt auf FLI-Assoziation wurde nach Deprivationsadjustment attenuiert.</w:t>
      </w:r>
    </w:p>
    <w:p>
      <w:r>
        <w:rPr>
          <w:b/>
          <w:sz w:val="19"/>
        </w:rPr>
        <w:t xml:space="preserve">Übertragbarkeit: </w:t>
      </w:r>
      <w:r>
        <w:rPr>
          <w:sz w:val="19"/>
        </w:rPr>
        <w:t>UK Biobank, vergleichbares Klima und Versorgungssystem wie Deutschland</w:t>
      </w:r>
    </w:p>
    <w:p>
      <w:r>
        <w:rPr>
          <w:color w:val="5A7D3A"/>
          <w:sz w:val="18"/>
        </w:rPr>
        <w:t>https://pubmed.ncbi.nlm.nih.gov/42876562/</w:t>
      </w:r>
    </w:p>
    <w:p>
      <w:pPr>
        <w:pStyle w:val="Heading2"/>
      </w:pPr>
      <w:r>
        <w:t>Rückgang häufiger Arten gefährdet Ökosysteme weltweit</w:t>
      </w:r>
    </w:p>
    <w:p>
      <w:r>
        <w:rPr>
          <w:i/>
          <w:color w:val="666666"/>
          <w:sz w:val="18"/>
        </w:rPr>
        <w:t>Xu W et al.  ·  Nat Commun  ·  12.09.2026  ·  PMID 42869934</w:t>
      </w:r>
    </w:p>
    <w:p>
      <w:r>
        <w:t>Hierarchische Bayesian-Synthese von Populationstrends aus 4.748 Standorten über 129 Studien zu Häufigkeitsveränderungen von Arten in Reaktion auf Klimawandel und anthropogene Treiber.</w:t>
      </w:r>
    </w:p>
    <w:p>
      <w:r>
        <w:rPr>
          <w:b/>
        </w:rPr>
        <w:t xml:space="preserve">Ergebnis: </w:t>
      </w:r>
      <w:r>
        <w:t>Konsistent stärkerer Rückgang anfangs häufiger Arten in Marine- und Terrestrisch-Ökosystemen; Süßwasser zeigt kein klares Muster. Klimaerwärmung und nicht-klimatische Menschendruck modulierten Trends, mit teilweise attenuierendem Effekt auf Verluste häufiger Arten (marine Systeme).</w:t>
      </w:r>
    </w:p>
    <w:p>
      <w:r>
        <w:rPr>
          <w:b/>
          <w:sz w:val="19"/>
        </w:rPr>
        <w:t xml:space="preserve">Übertragbarkeit: </w:t>
      </w:r>
      <w:r>
        <w:rPr>
          <w:sz w:val="19"/>
        </w:rPr>
        <w:t>Globale Daten mit Klimawandelbezug; funktionale Konsequenzen für Planetary Health relevant</w:t>
      </w:r>
    </w:p>
    <w:p>
      <w:r>
        <w:rPr>
          <w:color w:val="5A7D3A"/>
          <w:sz w:val="18"/>
        </w:rPr>
        <w:t>https://pubmed.ncbi.nlm.nih.gov/42869934/</w:t>
      </w:r>
    </w:p>
    <w:p>
      <w:pPr>
        <w:pStyle w:val="Heading1"/>
      </w:pPr>
      <w:r>
        <w:t>Aufgenommen am 20.10.2026</w:t>
      </w:r>
    </w:p>
    <w:p>
      <w:pPr>
        <w:pStyle w:val="Heading2"/>
      </w:pPr>
      <w:r>
        <w:t>Schwermetallbelastung Schwangerer: Urin, Hausstaub und Luftqualität</w:t>
      </w:r>
    </w:p>
    <w:p>
      <w:r>
        <w:rPr>
          <w:i/>
          <w:color w:val="666666"/>
          <w:sz w:val="18"/>
        </w:rPr>
        <w:t>Moradnia M et al.  ·  Environ Geochem Health  ·  19.10.2026  ·  PMID 42895578</w:t>
      </w:r>
    </w:p>
    <w:p>
      <w:r>
        <w:t>Studie untersuchte die räumliche Variabilität von Blei, Chrom, Kadmium und Nickel in Urin und Hausstaub bei 80 schwangeren Frauen im Kontext der Luftqualität.</w:t>
      </w:r>
    </w:p>
    <w:p>
      <w:r>
        <w:rPr>
          <w:b/>
        </w:rPr>
        <w:t xml:space="preserve">Ergebnis: </w:t>
      </w:r>
      <w:r>
        <w:t>Bedeutsame räumliche Unterschiede für Urin-Metallkonzentrationen und Air-Quality-Index (p&lt;0,001), nicht aber für Hausstaub-Metallkonzentrationen. Blei im Hausstaub Mittelwert 111,10 μg/g. Gebäudealter korrelierte stark mit Blei im Staub (ρ=0,788, p&lt;0,001). Urin- und Staubprofile nicht signifikant korreliert.</w:t>
      </w:r>
    </w:p>
    <w:p>
      <w:r>
        <w:rPr>
          <w:b/>
          <w:sz w:val="19"/>
        </w:rPr>
        <w:t xml:space="preserve">Übertragbarkeit: </w:t>
      </w:r>
      <w:r>
        <w:rPr>
          <w:sz w:val="19"/>
        </w:rPr>
        <w:t>Iran; zeigt prinzipielle Komplexität pränataler Exposition – in Deutschland relevant für vulnerable Populationen und Screening-Strategien.</w:t>
      </w:r>
    </w:p>
    <w:p>
      <w:r>
        <w:rPr>
          <w:color w:val="5A7D3A"/>
          <w:sz w:val="18"/>
        </w:rPr>
        <w:t>https://pubmed.ncbi.nlm.nih.gov/42895578/</w:t>
      </w:r>
    </w:p>
    <w:p>
      <w:pPr>
        <w:pStyle w:val="Heading2"/>
      </w:pPr>
      <w:r>
        <w:t>Luftverschmutzung und Hirnleistung: Schutzeffekt gesunder Lebensweise</w:t>
      </w:r>
    </w:p>
    <w:p>
      <w:r>
        <w:rPr>
          <w:i/>
          <w:color w:val="666666"/>
          <w:sz w:val="18"/>
        </w:rPr>
        <w:t>Zhang Y et al.  ·  J Glob Health  ·  19.10.2026  ·  PMID 42895283</w:t>
      </w:r>
    </w:p>
    <w:p>
      <w:r>
        <w:t>Studie untersuchte die Assoziation zwischen Langzeit-Luftverschmutzung und kognitiven Störungen bei älteren Erwachsenen in China sowie die schützende Rolle von Lebensstiländerungen.</w:t>
      </w:r>
    </w:p>
    <w:p>
      <w:r>
        <w:rPr>
          <w:b/>
        </w:rPr>
        <w:t xml:space="preserve">Ergebnis: </w:t>
      </w:r>
      <w:r>
        <w:t>Pro 10 μg/m³ Feinstaub (PM2.5) erhöhtes Kognitiv-Störungs-Risiko (HR 1,005; 95%-KI 1,001–1,009). Günstige Lebensweise reduzierte Risiko um etwa 52% bei hoher Exposition; Lifestyle mediierte 8,4–9,4% der Assoziation. Mischexposition mehrerer Schadstoffe zeigte signifikanten positiven Effekt auf Kognitiv-Störungs-Risiko (OR 1,028; 95%-KI 1,006–1,040).</w:t>
      </w:r>
    </w:p>
    <w:p>
      <w:r>
        <w:rPr>
          <w:b/>
          <w:sz w:val="19"/>
        </w:rPr>
        <w:t xml:space="preserve">Übertragbarkeit: </w:t>
      </w:r>
      <w:r>
        <w:rPr>
          <w:sz w:val="19"/>
        </w:rPr>
        <w:t>China mit vergleichbarem Alter und Exposition; Lebensstil-Intervention prinzipiell auch in Deutschland anwendbar.</w:t>
      </w:r>
    </w:p>
    <w:p>
      <w:r>
        <w:rPr>
          <w:color w:val="5A7D3A"/>
          <w:sz w:val="18"/>
        </w:rPr>
        <w:t>https://pubmed.ncbi.nlm.nih.gov/42895283/</w:t>
      </w:r>
    </w:p>
    <w:p>
      <w:pPr>
        <w:pStyle w:val="Heading2"/>
      </w:pPr>
      <w:r>
        <w:t>Planetary-Health-Literacy: Messinstrumente auf dem Prüfstand</w:t>
      </w:r>
    </w:p>
    <w:p>
      <w:r>
        <w:rPr>
          <w:i/>
          <w:color w:val="666666"/>
          <w:sz w:val="18"/>
        </w:rPr>
        <w:t>Reismann L et al.  ·  Health Qual Life Outcomes  ·  16.10.2026  ·  PMID 42888415</w:t>
      </w:r>
    </w:p>
    <w:p>
      <w:r>
        <w:t>Systematische Übersicht zur Güte von Messinstrumenten für Planetary and One Health Literacy nach COSMIN-Kriterien.</w:t>
      </w:r>
    </w:p>
    <w:p>
      <w:r>
        <w:rPr>
          <w:b/>
        </w:rPr>
        <w:t xml:space="preserve">Ergebnis: </w:t>
      </w:r>
      <w:r>
        <w:t>Von 192 gescreenten Datensätzen 4 Studien identifiziert mit 3 Instrumenten (CCHLS, Climate Change and Infectious Disease Literacy Scale, SFLS). Sustainable Food Literacy Scale (SFLS) zeigte beste Messeigenschaften mit sehr guter Evidenzqualität; türkische Adaptation hatte niedrige methodische Qualität. Alle Instrumente: niedrige bis sehr niedrige Evidenzqualität für Entwicklung und Inhaltsvalidität.</w:t>
      </w:r>
    </w:p>
    <w:p>
      <w:r>
        <w:rPr>
          <w:b/>
          <w:sz w:val="19"/>
        </w:rPr>
        <w:t xml:space="preserve">Übertragbarkeit: </w:t>
      </w:r>
      <w:r>
        <w:rPr>
          <w:sz w:val="19"/>
        </w:rPr>
        <w:t>Deutsche Studien unter Autoren; zeigt Messbarkeits-Lücke bei Klimabewusstsein für deutsches Gesundheitswesen.</w:t>
      </w:r>
    </w:p>
    <w:p>
      <w:r>
        <w:rPr>
          <w:color w:val="5A7D3A"/>
          <w:sz w:val="18"/>
        </w:rPr>
        <w:t>https://pubmed.ncbi.nlm.nih.gov/42888415/</w:t>
      </w:r>
    </w:p>
    <w:p>
      <w:pPr>
        <w:pStyle w:val="Heading2"/>
      </w:pPr>
      <w:r>
        <w:t>Passivrauchen in der Schwangerschaft: Selbstwirksamkeit und objektive Biomarker</w:t>
      </w:r>
    </w:p>
    <w:p>
      <w:r>
        <w:rPr>
          <w:i/>
          <w:color w:val="666666"/>
          <w:sz w:val="18"/>
        </w:rPr>
        <w:t>Karimiankakolaki Z et al.  ·  BMC Res Notes  ·  05.10.2026  ·  PMID 42881409</w:t>
      </w:r>
    </w:p>
    <w:p>
      <w:r>
        <w:t>Querschnittsstudie untersuchte Zusammenhänge zwischen Selbstwirksamkeit rauchender Männer, ihrer Zigarettenkonsumption, Angaben schwangerer Partnerinnen und Speichel-Cotinin-Spiegeln.</w:t>
      </w:r>
    </w:p>
    <w:p>
      <w:r>
        <w:rPr>
          <w:b/>
        </w:rPr>
        <w:t xml:space="preserve">Ergebnis: </w:t>
      </w:r>
      <w:r>
        <w:t>140 rauchende Männer und schwangere Frauen: mittlere Männer-Selbstwirksamkeit 37,86 (SD 4,27), Zigarettenkonsum 6,46 (SD 4,50) pro Tag, Cotinin-Spiegel 52,90 (SD 33,39) pg/ml. Signifikante Korrelationen zwischen Selbstwirksamkeit und Konsum (r=−0,31), Selbstwirksamkeit und berichteter Exposition (r=−0,41), berichteter Exposition und Cotinin (r=0,72). Im Regressionsmodell: berichtete Exposition (β=0,63, p&lt;0,001) und Selbstwirksamkeit (β=−0,14, p=0,022) erklärten 56% der Varianz in Cotinin.</w:t>
      </w:r>
    </w:p>
    <w:p>
      <w:r>
        <w:rPr>
          <w:b/>
          <w:sz w:val="19"/>
        </w:rPr>
        <w:t xml:space="preserve">Übertragbarkeit: </w:t>
      </w:r>
      <w:r>
        <w:rPr>
          <w:sz w:val="19"/>
        </w:rPr>
        <w:t>Iran; Mechanismus (Verhaltensfaktoren und objektive Biomarker) auf Deutschland übertragbar; Screening von Schwangerschaftsexposition.</w:t>
      </w:r>
    </w:p>
    <w:p>
      <w:r>
        <w:rPr>
          <w:color w:val="5A7D3A"/>
          <w:sz w:val="18"/>
        </w:rPr>
        <w:t>https://pubmed.ncbi.nlm.nih.gov/42881409/</w:t>
      </w:r>
    </w:p>
    <w:p>
      <w:pPr>
        <w:pStyle w:val="Heading2"/>
      </w:pPr>
      <w:r>
        <w:t>Luftverschmutzung und Sterblichkeit in reichem Land: Abu Dhabi</w:t>
      </w:r>
    </w:p>
    <w:p>
      <w:r>
        <w:rPr>
          <w:i/>
          <w:color w:val="666666"/>
          <w:sz w:val="18"/>
        </w:rPr>
        <w:t>Wei T et al.  ·  Risk Anal  ·  Nov. 2026  ·  PMID 42872515</w:t>
      </w:r>
    </w:p>
    <w:p>
      <w:r>
        <w:t>Studie schätzte die Krankheitslast durch Feinstaub und Ozon in Abu Dhabi 2019–2022 und verglich sie mit Daten von 2008.</w:t>
      </w:r>
    </w:p>
    <w:p>
      <w:r>
        <w:rPr>
          <w:b/>
        </w:rPr>
        <w:t xml:space="preserve">Ergebnis: </w:t>
      </w:r>
      <w:r>
        <w:t>Zurechenbare Todesfälle stiegen von 231 (90%-UI 59–427) im Jahr 2008 auf 1.249 (90%-UI 507–2.169) im Mittel 2019–2022, trotz Investitionen in Luftqualitätsmanagemnet. Stadtgebiete mit höherer Schadstoffkonzentration zeigen höchste Risiken.</w:t>
      </w:r>
    </w:p>
    <w:p>
      <w:r>
        <w:rPr>
          <w:b/>
          <w:sz w:val="19"/>
        </w:rPr>
        <w:t xml:space="preserve">Übertragbarkeit: </w:t>
      </w:r>
      <w:r>
        <w:rPr>
          <w:sz w:val="19"/>
        </w:rPr>
        <w:t>Wohlhabendes Land, andere Klimazone; Methodik und Monitoring-Ansatz übertragbar, nicht Schwellwerte.</w:t>
      </w:r>
    </w:p>
    <w:p>
      <w:r>
        <w:rPr>
          <w:color w:val="5A7D3A"/>
          <w:sz w:val="18"/>
        </w:rPr>
        <w:t>https://pubmed.ncbi.nlm.nih.gov/42872515/</w:t>
      </w:r>
    </w:p>
    <w:p>
      <w:pPr>
        <w:pStyle w:val="Heading2"/>
      </w:pPr>
      <w:r>
        <w:t>Evaluationszeiträume bei Tabak-Kontrollrichtlinien in Nordamerika und Commonwealth</w:t>
      </w:r>
    </w:p>
    <w:p>
      <w:r>
        <w:rPr>
          <w:i/>
          <w:color w:val="666666"/>
          <w:sz w:val="18"/>
        </w:rPr>
        <w:t>Aziz H et al.  ·  Front Public Health  ·  29.09.2026  ·  PMID 42871433</w:t>
      </w:r>
    </w:p>
    <w:p>
      <w:r>
        <w:t>Systematische Übersicht der Evaluationsverzögerung zwischen Politikimplementierung und Messung von Verhaltenseffekten in Tabakkontrollstudien.</w:t>
      </w:r>
    </w:p>
    <w:p>
      <w:r>
        <w:rPr>
          <w:b/>
        </w:rPr>
        <w:t xml:space="preserve">Ergebnis: </w:t>
      </w:r>
      <w:r>
        <w:t>21 Studien analysiert: Rauchfrei-Richtlinien wurden früher evaluiert (6 Monate bis 1 Jahr), Einzelhandels- und Nikotin-Richtlinien später (≥1 Jahr). 90,5% der Studien zeigten niedriges Verzerrungsrisiko. Die meisten Studien berichteten positive Effekte nach Implementierung.</w:t>
      </w:r>
    </w:p>
    <w:p>
      <w:r>
        <w:rPr>
          <w:b/>
          <w:sz w:val="19"/>
        </w:rPr>
        <w:t xml:space="preserve">Übertragbarkeit: </w:t>
      </w:r>
      <w:r>
        <w:rPr>
          <w:sz w:val="19"/>
        </w:rPr>
        <w:t>Kanada mit ähnlichem Gesundheitssystem; Evidenzlage für optimale Evaluationszeiträume nach Politiktyp relevant für deutsches Tabakkontroll-Monitoring.</w:t>
      </w:r>
    </w:p>
    <w:p>
      <w:r>
        <w:rPr>
          <w:color w:val="5A7D3A"/>
          <w:sz w:val="18"/>
        </w:rPr>
        <w:t>https://pubmed.ncbi.nlm.nih.gov/42871433/</w:t>
      </w:r>
    </w:p>
    <w:p>
      <w:pPr>
        <w:pStyle w:val="Heading1"/>
      </w:pPr>
      <w:r>
        <w:t>Aufgenommen am 19.10.2026</w:t>
      </w:r>
    </w:p>
    <w:p>
      <w:pPr>
        <w:pStyle w:val="Heading2"/>
      </w:pPr>
      <w:r>
        <w:t>Urbane Wärmeinsel und Grünflächenmangel: Satellitenmessung in chinesischen Städten</w:t>
      </w:r>
    </w:p>
    <w:p>
      <w:r>
        <w:rPr>
          <w:i/>
          <w:color w:val="666666"/>
          <w:sz w:val="18"/>
        </w:rPr>
        <w:t>Pu W et al.  ·  Environ Monit Assess  ·  17.10.2026  ·  PMID 42891866</w:t>
      </w:r>
    </w:p>
    <w:p>
      <w:r>
        <w:t>Harmonisierte Landsat-Oberflächentemperatur, Landbedeckung und Bevölkerungsdaten in vier chinesischen Großstädten (2020–2024) zur Kartierung von Wärmestress und Blaugrün-Defiziten.</w:t>
      </w:r>
    </w:p>
    <w:p>
      <w:r>
        <w:rPr>
          <w:b/>
        </w:rPr>
        <w:t xml:space="preserve">Ergebnis: </w:t>
      </w:r>
      <w:r>
        <w:t>8,8 bis 14,1 % der innerstädtischen Grid-Zellen zeigten hohe Wärmestrahlung bei geringem Blaugrün-Angebot (1,52- bis 1,63-fach über Nullerwartung); höchstes Bevölkerungsdezil war 4,19 bis 5,23 °C wärmer als niedrigstes; Modellgüte (R² 0,632–0,896 in städtischen Modellen).</w:t>
      </w:r>
    </w:p>
    <w:p>
      <w:r>
        <w:rPr>
          <w:b/>
          <w:sz w:val="19"/>
        </w:rPr>
        <w:t xml:space="preserve">Übertragbarkeit: </w:t>
      </w:r>
      <w:r>
        <w:rPr>
          <w:sz w:val="19"/>
        </w:rPr>
        <w:t>Chinesische Ballungsräume; Methodik übertragbar – deutsche Städte sollten ähnliche Risikomapping durchführen</w:t>
      </w:r>
    </w:p>
    <w:p>
      <w:r>
        <w:rPr>
          <w:color w:val="5A7D3A"/>
          <w:sz w:val="18"/>
        </w:rPr>
        <w:t>https://pubmed.ncbi.nlm.nih.gov/42891866/</w:t>
      </w:r>
    </w:p>
    <w:p>
      <w:pPr>
        <w:pStyle w:val="Heading2"/>
      </w:pPr>
      <w:r>
        <w:t>Ozonbelastung und Atemwegsgesundheit in den USA: Systematische Übersicht</w:t>
      </w:r>
    </w:p>
    <w:p>
      <w:r>
        <w:rPr>
          <w:i/>
          <w:color w:val="666666"/>
          <w:sz w:val="18"/>
        </w:rPr>
        <w:t>Cho Y et al.  ·  Curr Environ Health Rep  ·  17.10.2026  ·  PMID 42891783</w:t>
      </w:r>
    </w:p>
    <w:p>
      <w:r>
        <w:t>Systematische Übersicht von 1980 bis 2026 über Effekte von Ozonschwankungen auf Lungenfunktion, Asthmasymptome und Atemwegsmorbidität in den USA.</w:t>
      </w:r>
    </w:p>
    <w:p>
      <w:r>
        <w:rPr>
          <w:b/>
        </w:rPr>
        <w:t xml:space="preserve">Ergebnis: </w:t>
      </w:r>
      <w:r>
        <w:t>Konsistente adverse respiratorische Effekte nachgewiesen: Lungenfunktionsdefizite auch unterhalb aktueller Grenzwerte, erhöhte Notaufnahmebesuche und Hospitalisierungen bei Kindern, älteren Erwachsenen und Patienten mit Vorerkrankungen; Schulfehlzeiten als sensitive Outcome-Indikatoren für pädiatrische Respirationsgesundheit identifiziert.</w:t>
      </w:r>
    </w:p>
    <w:p>
      <w:r>
        <w:rPr>
          <w:b/>
          <w:sz w:val="19"/>
        </w:rPr>
        <w:t xml:space="preserve">Übertragbarkeit: </w:t>
      </w:r>
      <w:r>
        <w:rPr>
          <w:sz w:val="19"/>
        </w:rPr>
        <w:t>USA-Daten; Klimawandel verstärkt Ozonbildung – Relevanz für deutsche Ballungsräume</w:t>
      </w:r>
    </w:p>
    <w:p>
      <w:r>
        <w:rPr>
          <w:color w:val="5A7D3A"/>
          <w:sz w:val="18"/>
        </w:rPr>
        <w:t>https://pubmed.ncbi.nlm.nih.gov/42891783/</w:t>
      </w:r>
    </w:p>
    <w:p>
      <w:pPr>
        <w:pStyle w:val="Heading2"/>
      </w:pPr>
      <w:r>
        <w:t>PM2,5 und Lebenserwartung: Methodische Fallstricke in globalen Paneldaten</w:t>
      </w:r>
    </w:p>
    <w:p>
      <w:r>
        <w:rPr>
          <w:i/>
          <w:color w:val="666666"/>
          <w:sz w:val="18"/>
        </w:rPr>
        <w:t>Lu H et al.  ·  Front Public Health  ·  01.10.2026  ·  PMID 42889153</w:t>
      </w:r>
    </w:p>
    <w:p>
      <w:r>
        <w:t>Spezifikationsstudie zu PM2,5-Effekten auf nationale Lebenserwartung (186 Länder, 2000-2023) mit Test auf Robustheit gegenüber Trendkontrolle.</w:t>
      </w:r>
    </w:p>
    <w:p>
      <w:r>
        <w:rPr>
          <w:b/>
        </w:rPr>
        <w:t xml:space="preserve">Ergebnis: </w:t>
      </w:r>
      <w:r>
        <w:t>Konventionelle Modelle zeigten paradox positive PM2,5-Assoziation (+0,406 Jahre pro 10 µg/m³). Nach Hinzunahme von länderspezifischen linearen Trends: -0,023 Jahre (95%-KI -0,175 bis 0,129); in First-Differences-Modellen: -0,006 Jahre (95%-KI -0,085 bis 0,073). Zukünftige PM2,5 zeigte positive Cross-sectional-Assoziation, die nach Anpassung an aktuelle Werte attenuiert wurde.</w:t>
      </w:r>
    </w:p>
    <w:p>
      <w:r>
        <w:rPr>
          <w:b/>
          <w:sz w:val="19"/>
        </w:rPr>
        <w:t xml:space="preserve">Übertragbarkeit: </w:t>
      </w:r>
      <w:r>
        <w:rPr>
          <w:sz w:val="19"/>
        </w:rPr>
        <w:t>Methodische Warnung für Luftqualitätsstudien; Deutschland sollte Trend-Diagnostik verstärken</w:t>
      </w:r>
    </w:p>
    <w:p>
      <w:r>
        <w:rPr>
          <w:color w:val="5A7D3A"/>
          <w:sz w:val="18"/>
        </w:rPr>
        <w:t>https://pubmed.ncbi.nlm.nih.gov/42889153/</w:t>
      </w:r>
    </w:p>
    <w:p>
      <w:pPr>
        <w:pStyle w:val="Heading2"/>
      </w:pPr>
      <w:r>
        <w:t>Trinkwassersalinität und Hitzestress in Kenia: Protokoll zur Nierenfunktion</w:t>
      </w:r>
    </w:p>
    <w:p>
      <w:r>
        <w:rPr>
          <w:i/>
          <w:color w:val="666666"/>
          <w:sz w:val="18"/>
        </w:rPr>
        <w:t>Rojas AJ Jr et al.  ·  Am J Hum Biol  ·  Okt. 2026  ·  PMID 42865079</w:t>
      </w:r>
    </w:p>
    <w:p>
      <w:r>
        <w:t>Studienprotokoll einer Längsschnittstudie mit 600 Erwachsenen in Kenia zur Untersuchung von Wassersalinität und Hitzestress auf Hydration, Nierenfunktion und kardiovaskuläre Effekte.</w:t>
      </w:r>
    </w:p>
    <w:p>
      <w:r>
        <w:rPr>
          <w:b/>
        </w:rPr>
        <w:t xml:space="preserve">Ergebnis: </w:t>
      </w:r>
      <w:r>
        <w:t>Protokoll für saisonale Datenerfassung (Trockenzeit Juni–Juli, Regenzeit März–April) über sechs Wellen; Messung von Salzgehalt, Doppelt-markiertem Wasser, Point-of-Care und laborgestützten Biomarkern; multilevel-Regression zur Quantifizierung von Salz- und Hitzeffekten auf Hypertonie und chronische Nierenkrankheit geplant.</w:t>
      </w:r>
    </w:p>
    <w:p>
      <w:r>
        <w:rPr>
          <w:b/>
          <w:sz w:val="19"/>
        </w:rPr>
        <w:t xml:space="preserve">Übertragbarkeit: </w:t>
      </w:r>
      <w:r>
        <w:rPr>
          <w:sz w:val="19"/>
        </w:rPr>
        <w:t>Kenia, aride Klimazone; Mechanismen generalisierbar – Deutschland sollte Wassersicherheit überwachen</w:t>
      </w:r>
    </w:p>
    <w:p>
      <w:r>
        <w:rPr>
          <w:color w:val="5A7D3A"/>
          <w:sz w:val="18"/>
        </w:rPr>
        <w:t>https://pubmed.ncbi.nlm.nih.gov/42865079/</w:t>
      </w:r>
    </w:p>
    <w:p>
      <w:pPr>
        <w:pStyle w:val="Heading2"/>
      </w:pPr>
      <w:r>
        <w:t>Hitzeinduzierte Schmerzverarbeitung bei autistischen Personen: Geschlechtsdifferenzen</w:t>
      </w:r>
    </w:p>
    <w:p>
      <w:r>
        <w:rPr>
          <w:i/>
          <w:color w:val="666666"/>
          <w:sz w:val="18"/>
        </w:rPr>
        <w:t>Granovsky Y et al.  ·  Eur J Pain  ·  Okt. 2026  ·  PMID 42860550</w:t>
      </w:r>
    </w:p>
    <w:p>
      <w:r>
        <w:t>Querschnittstudie mit 50 autistischen und 52 typisch entwickelten Erwachsenen zu Schmerzratings und kortikalen Reaktionen (N2-Amplituden) auf kalibrierte Hitzestimuli (52°C).</w:t>
      </w:r>
    </w:p>
    <w:p>
      <w:r>
        <w:rPr>
          <w:b/>
        </w:rPr>
        <w:t xml:space="preserve">Ergebnis: </w:t>
      </w:r>
      <w:r>
        <w:t>Autistische Teilnehmer berichteten höhere Schmerzwerte (p = 0,004) und zeigten niedrigere N2-Amplituden (p = 0,02); signifikante Gruppe×Geschlecht-Wechselwirkung (p &lt; 0,001) mit niedrigsten N2-Amplituden bei autistischen Frauen (p &lt; 0,05); nur bei Frauen: positive Assoziation N2-Amplitude–Schmerzbewertung in Kontrollen (r = 0,734; p = 0,004), nicht in autistischen (r = 0,371; p = 0,192).</w:t>
      </w:r>
    </w:p>
    <w:p>
      <w:r>
        <w:rPr>
          <w:b/>
          <w:sz w:val="19"/>
        </w:rPr>
        <w:t xml:space="preserve">Übertragbarkeit: </w:t>
      </w:r>
      <w:r>
        <w:rPr>
          <w:sz w:val="19"/>
        </w:rPr>
        <w:t>Deutschland, Israel; Hitzeverträglichkeit und vulnerable Subgruppen relevant für Hitzeaktionspläne</w:t>
      </w:r>
    </w:p>
    <w:p>
      <w:r>
        <w:rPr>
          <w:color w:val="5A7D3A"/>
          <w:sz w:val="18"/>
        </w:rPr>
        <w:t>https://pubmed.ncbi.nlm.nih.gov/42860550/</w:t>
      </w:r>
    </w:p>
    <w:p>
      <w:pPr>
        <w:pStyle w:val="Heading1"/>
      </w:pPr>
      <w:r>
        <w:t>Aufgenommen am 18.10.2026</w:t>
      </w:r>
    </w:p>
    <w:p>
      <w:pPr>
        <w:pStyle w:val="Heading2"/>
      </w:pPr>
      <w:r>
        <w:t>Soziale Ungleichheiten in Feinstaubexposition während Smog-Saison</w:t>
      </w:r>
    </w:p>
    <w:p>
      <w:r>
        <w:rPr>
          <w:i/>
          <w:color w:val="666666"/>
          <w:sz w:val="18"/>
        </w:rPr>
        <w:t>Sittitoon N et al.  ·  Front Public Health  ·  01.10.2026  ·  PMID 42889179</w:t>
      </w:r>
    </w:p>
    <w:p>
      <w:r>
        <w:t>Querschnittsstudie in Thailand (n=3916) untersuchte, wie Bildung, soziodemografische Faktoren, Schutzverhalten und Umweltfaktoren die PM2,5-bedingten Symptome während der Haze-Saison beeinflussen.</w:t>
      </w:r>
    </w:p>
    <w:p>
      <w:r>
        <w:rPr>
          <w:b/>
        </w:rPr>
        <w:t xml:space="preserve">Ergebnis: </w:t>
      </w:r>
      <w:r>
        <w:t>Respiratorische Symptome waren am häufigsten (80,7%), gefolgt von Augen- (52,8%), Haut- (48,7%) und neurologischen Symptomen (33,1%). Nicht-kompliante Schutzverhalten waren mit erhöhten Chancen für respiratorische und neurologische Symptome verbunden (vs. kompliante Gruppe); höhere PM2,5-Exposition war unabhängig mit erhöhtem Risiko assoziiert.</w:t>
      </w:r>
    </w:p>
    <w:p>
      <w:r>
        <w:rPr>
          <w:b/>
          <w:sz w:val="19"/>
        </w:rPr>
        <w:t xml:space="preserve">Übertragbarkeit: </w:t>
      </w:r>
      <w:r>
        <w:rPr>
          <w:sz w:val="19"/>
        </w:rPr>
        <w:t>Südostasien mit höheren Temperaturschwellen; Methodik und Ungleichheitsperspektive aber prinzipiell relevant</w:t>
      </w:r>
    </w:p>
    <w:p>
      <w:r>
        <w:rPr>
          <w:color w:val="5A7D3A"/>
          <w:sz w:val="18"/>
        </w:rPr>
        <w:t>https://pubmed.ncbi.nlm.nih.gov/42889179/</w:t>
      </w:r>
    </w:p>
    <w:p>
      <w:pPr>
        <w:pStyle w:val="Heading2"/>
      </w:pPr>
      <w:r>
        <w:t>Dengue-Virus-Infektion: Klimawandel und geografische Ausbreitung</w:t>
      </w:r>
    </w:p>
    <w:p>
      <w:r>
        <w:rPr>
          <w:i/>
          <w:color w:val="666666"/>
          <w:sz w:val="18"/>
        </w:rPr>
        <w:t>Ooi YS et al.  ·  Nat Rev Dis Primers  ·  15.10.2026  ·  PMID 42881211</w:t>
      </w:r>
    </w:p>
    <w:p>
      <w:r>
        <w:t>Übersichtsarbeit zur Dengue-Epidemiologie, Klinik und Management beschreibt den sich durch Klimawandel und erhöhte Mobilität ausbreitenden geografischen Kreis der Erkrankung von urbanen in ländliche und periurbane Gebiete.</w:t>
      </w:r>
    </w:p>
    <w:p>
      <w:r>
        <w:rPr>
          <w:b/>
        </w:rPr>
        <w:t xml:space="preserve">Ergebnis: </w:t>
      </w:r>
      <w:r>
        <w:t>Jährlich erkranken ca. 100 Millionen Menschen an Dengue. Die geografische Verbreitung erweitert sich durch erhöhtes Reiseaufkommen und Klimawandel; Faktor für die Krankheitslast ist der Shift von urbanen Zentren in ländliche Bereiche, was zukünftige klinische Präsenz und Versorgungsbedarf für Deutschland absehbar macht.</w:t>
      </w:r>
    </w:p>
    <w:p>
      <w:r>
        <w:rPr>
          <w:b/>
          <w:sz w:val="19"/>
        </w:rPr>
        <w:t xml:space="preserve">Übertragbarkeit: </w:t>
      </w:r>
      <w:r>
        <w:rPr>
          <w:sz w:val="19"/>
        </w:rPr>
        <w:t>Epidemiologie und Dynamik klimasensitiver Vektorkrankheiten; Management-Prinzipien und Erkennung post-akuter Sequelae relevant</w:t>
      </w:r>
    </w:p>
    <w:p>
      <w:r>
        <w:rPr>
          <w:color w:val="5A7D3A"/>
          <w:sz w:val="18"/>
        </w:rPr>
        <w:t>https://pubmed.ncbi.nlm.nih.gov/42881211/</w:t>
      </w:r>
    </w:p>
    <w:p>
      <w:pPr>
        <w:pStyle w:val="Heading2"/>
      </w:pPr>
      <w:r>
        <w:t>Luftqualitätsveränderungen während COVID-19-Lockdowns in Delhi-Metropolregion</w:t>
      </w:r>
    </w:p>
    <w:p>
      <w:r>
        <w:rPr>
          <w:i/>
          <w:color w:val="666666"/>
          <w:sz w:val="18"/>
        </w:rPr>
        <w:t>Biswas S et al.  ·  Sci Prog  ·  14.10.2026  ·  PMID 42874085</w:t>
      </w:r>
    </w:p>
    <w:p>
      <w:r>
        <w:t>Longitudinale Analyse der Luftqualität (PM2,5, PM10, NOx, SO2, CO, O3) in Delhi-NCR während COVID-19-Lockdown, Wiederöffnung und prä-pandemischer Baseline, mit Fokus auf nichtlineare Dynamiken und Persistenzeffekte.</w:t>
      </w:r>
    </w:p>
    <w:p>
      <w:r>
        <w:rPr>
          <w:b/>
        </w:rPr>
        <w:t xml:space="preserve">Ergebnis: </w:t>
      </w:r>
      <w:r>
        <w:t>Während des Lockdowns stiegen Schadstoffkonzentrationen initial (z. B. PM2,5-Reduktion, dann Rebound), mit mehreren Übergangspunkten. Post-COVID-Luftqualitätsdynamiken blieben stärker mit Lockdown-Bedingungen synchronisiert als mit prä-COVID-Periode, was partielle Persistenz von Verbesserungen anzeigt. Nichtlineare Analyse zeigte veränderte Rekurrenzstrukturen.</w:t>
      </w:r>
    </w:p>
    <w:p>
      <w:r>
        <w:rPr>
          <w:b/>
          <w:sz w:val="19"/>
        </w:rPr>
        <w:t xml:space="preserve">Übertragbarkeit: </w:t>
      </w:r>
      <w:r>
        <w:rPr>
          <w:sz w:val="19"/>
        </w:rPr>
        <w:t>Delhi-Metropolregion (Tropen); Methodologie nichtlinearer dynamischer Systeme und Transitions-Analyse übertragbar</w:t>
      </w:r>
    </w:p>
    <w:p>
      <w:r>
        <w:rPr>
          <w:color w:val="5A7D3A"/>
          <w:sz w:val="18"/>
        </w:rPr>
        <w:t>https://pubmed.ncbi.nlm.nih.gov/42874085/</w:t>
      </w:r>
    </w:p>
    <w:p>
      <w:pPr>
        <w:pStyle w:val="Heading2"/>
      </w:pPr>
      <w:r>
        <w:t>Biomasse-Verbrennung und Feinstaub-Gesundheitsrisiken in Indien</w:t>
      </w:r>
    </w:p>
    <w:p>
      <w:r>
        <w:rPr>
          <w:i/>
          <w:color w:val="666666"/>
          <w:sz w:val="18"/>
        </w:rPr>
        <w:t>Bojjagani S et al.  ·  Environ Monit Assess  ·  14.10.2026  ·  PMID 42873321</w:t>
      </w:r>
    </w:p>
    <w:p>
      <w:r>
        <w:t>Feldstudie in Lucknow (Indien) während des Holika-Dahan-Festivals evaluierte PM2,5-Charakteristika, Quellbeiträge und zurechenbare Gesundheitsrisiken bei residentialen und kommerziellen Standorten in drei Phasen.</w:t>
      </w:r>
    </w:p>
    <w:p>
      <w:r>
        <w:rPr>
          <w:b/>
        </w:rPr>
        <w:t xml:space="preserve">Ergebnis: </w:t>
      </w:r>
      <w:r>
        <w:t>PM2,5-Konzentrationen während Holika Dahan stiegen um Faktor 2,0 (residentiell) bzw. 1,4 (kommerziell) vs. prä-Holika-Baseline. Kanzerogenes Risiko (CR) überschritt EPA-Grenzwerte an beiden Standorten; Peak während Holika-Nacht. Nicht-kanzerogener Hazard Index (HI) blieb unter EPA-Grenzen, aber mit beobachteten Spitzenwerten während des Events.</w:t>
      </w:r>
    </w:p>
    <w:p>
      <w:r>
        <w:rPr>
          <w:b/>
          <w:sz w:val="19"/>
        </w:rPr>
        <w:t xml:space="preserve">Übertragbarkeit: </w:t>
      </w:r>
      <w:r>
        <w:rPr>
          <w:sz w:val="19"/>
        </w:rPr>
        <w:t>Indien – nur die Expositions- und Risikobewertungsmethodik ist übertragbar; absolute Schwellen nicht</w:t>
      </w:r>
    </w:p>
    <w:p>
      <w:r>
        <w:rPr>
          <w:color w:val="5A7D3A"/>
          <w:sz w:val="18"/>
        </w:rPr>
        <w:t>https://pubmed.ncbi.nlm.nih.gov/42873321/</w:t>
      </w:r>
    </w:p>
    <w:p>
      <w:pPr>
        <w:pStyle w:val="Heading2"/>
      </w:pPr>
      <w:r>
        <w:t>Tabakbedingte Sterblichkeit und Krankheitslast in Indien 1990–2023</w:t>
      </w:r>
    </w:p>
    <w:p>
      <w:r>
        <w:rPr>
          <w:i/>
          <w:color w:val="666666"/>
          <w:sz w:val="18"/>
        </w:rPr>
        <w:t>Mandal C et al.  ·  BMJ Open  ·  30.09.2026  ·  PMID 42816088</w:t>
      </w:r>
    </w:p>
    <w:p>
      <w:r>
        <w:t>Deskriptive Analyse der Global Burden of Disease 2023 quantifizierte tabakattribuierbare Todesfälle und Behinderungen-bereinigte Lebensjahre (DALYs) in Indien für 1990 und 2023 nach Geschlecht, Alter und Expositionstyp.</w:t>
      </w:r>
    </w:p>
    <w:p>
      <w:r>
        <w:rPr>
          <w:b/>
        </w:rPr>
        <w:t xml:space="preserve">Ergebnis: </w:t>
      </w:r>
      <w:r>
        <w:t>Tabakattribuierbare Todesfälle stiegen um 54,7 % (von 745,74 tausend 1990 auf 1.153,98 tausend 2023), DALYs um 15,1 % (27,3 auf 31,4 Mio.). Age-standardisierte Raten sanken aber um 39,8 % (Todesfälle) und 47,8 % (DALYs). Rauchen führte 738,8 tausend Todesfälle 2023 an; Kautabak stieg um 153,7 %, Passivrauchen betraf 325,63 tausend Frauen.</w:t>
      </w:r>
    </w:p>
    <w:p>
      <w:r>
        <w:rPr>
          <w:b/>
          <w:sz w:val="19"/>
        </w:rPr>
        <w:t xml:space="preserve">Übertragbarkeit: </w:t>
      </w:r>
      <w:r>
        <w:rPr>
          <w:sz w:val="19"/>
        </w:rPr>
        <w:t>SüdAsien mit anderer Bevölkerungsstruktur; Analysemethodik und Prinzip der Multimorbidität relevant</w:t>
      </w:r>
    </w:p>
    <w:p>
      <w:r>
        <w:rPr>
          <w:color w:val="5A7D3A"/>
          <w:sz w:val="18"/>
        </w:rPr>
        <w:t>https://pubmed.ncbi.nlm.nih.gov/42816088/</w:t>
      </w:r>
    </w:p>
    <w:p>
      <w:pPr>
        <w:pStyle w:val="Heading2"/>
      </w:pPr>
      <w:r>
        <w:t>Luftverschmutzung und Asthmaentwicklung bei Kindern: Endotoxine als Modifikator</w:t>
      </w:r>
    </w:p>
    <w:p>
      <w:r>
        <w:rPr>
          <w:i/>
          <w:color w:val="666666"/>
          <w:sz w:val="18"/>
        </w:rPr>
        <w:t>Zhang L et al.  ·  Environ Res  ·  15.11.2026  ·  PMID 42805479</w:t>
      </w:r>
    </w:p>
    <w:p>
      <w:r>
        <w:t>Kanadas CHILD-Studie untersuchte, ob frühe Exposition gegenüber verkehrsbedingter Luftverschmutzung (NO2) die Asthmaentwicklung und rezidivierendes Keuchen im Kindesalter beeinflusst und wie Innenraum-Endotoxine diese Assoziation verändern.</w:t>
      </w:r>
    </w:p>
    <w:p>
      <w:r>
        <w:rPr>
          <w:b/>
        </w:rPr>
        <w:t xml:space="preserve">Ergebnis: </w:t>
      </w:r>
      <w:r>
        <w:t>NO2-Exposition war mit erhöhtem Asthmarisiko assoziiert (OR 1,36; 95%-KI 1,00–1,84) und rezidivierendem Keuchen (OR 1,34; 95%-KI 1,10–1,64) pro 10 ppb Anstieg. Die Assoziation war signifikant stärker bei hoher Endotoxin-Exposition (OR 3,25; 95%-KI 1,29–8,15), was auf eine Interaktion hindeutet.</w:t>
      </w:r>
    </w:p>
    <w:p>
      <w:r>
        <w:rPr>
          <w:b/>
          <w:sz w:val="19"/>
        </w:rPr>
        <w:t xml:space="preserve">Übertragbarkeit: </w:t>
      </w:r>
      <w:r>
        <w:rPr>
          <w:sz w:val="19"/>
        </w:rPr>
        <w:t>Kanada, gemäßigte Klimazone, vergleichbares Versorgungssystem; Methodik und Interaktionsprinzip relevant für Deutschland</w:t>
      </w:r>
    </w:p>
    <w:p>
      <w:r>
        <w:rPr>
          <w:color w:val="5A7D3A"/>
          <w:sz w:val="18"/>
        </w:rPr>
        <w:t>https://pubmed.ncbi.nlm.nih.gov/42805479/</w:t>
      </w:r>
    </w:p>
    <w:p>
      <w:pPr>
        <w:pStyle w:val="Heading1"/>
      </w:pPr>
      <w:r>
        <w:t>Aufgenommen am 17.10.2026</w:t>
      </w:r>
    </w:p>
    <w:p>
      <w:pPr>
        <w:pStyle w:val="Heading2"/>
      </w:pPr>
      <w:r>
        <w:t>Klimawandel und Gesundheit indigener Kinder – systematische Übersicht</w:t>
      </w:r>
    </w:p>
    <w:p>
      <w:r>
        <w:rPr>
          <w:i/>
          <w:color w:val="666666"/>
          <w:sz w:val="18"/>
        </w:rPr>
        <w:t>Turnbull JJ et al.  ·  Global Health  ·  30.09.2026  ·  PMID 42881393</w:t>
      </w:r>
    </w:p>
    <w:p>
      <w:r>
        <w:t>Systematische Übersicht (53 Studien) der globalen Evidenz zu klimabezogenen Gesundheitsfolgen bei indigenen Kindern und Schwangeren, mit Analyse von Expositions-Ergebnis-Mustern.</w:t>
      </w:r>
    </w:p>
    <w:p>
      <w:r>
        <w:rPr>
          <w:b/>
        </w:rPr>
        <w:t xml:space="preserve">Ergebnis: </w:t>
      </w:r>
      <w:r>
        <w:t>Fünf Hauptgesundheitsfolgen identifiziert: (1) psychosoziales und kulturelles Wohlbefinden, (2) Unterernährung, (3) Infektionskrankheiten, (4) perinatale Gesundheit, (5) Morbidität und Mortalität. Hitzeexposition und hydroklimatische Variabilität waren die häufigsten Klimafaktoren. Psychosoziales Wohlbefinden war das querschnittlichste Thema, verbunden mit allen anderen Gesundheitsbereichen.</w:t>
      </w:r>
    </w:p>
    <w:p>
      <w:r>
        <w:rPr>
          <w:b/>
          <w:sz w:val="19"/>
        </w:rPr>
        <w:t xml:space="preserve">Übertragbarkeit: </w:t>
      </w:r>
      <w:r>
        <w:rPr>
          <w:sz w:val="19"/>
        </w:rPr>
        <w:t>Globale, diverse Populationen; Methodische und konzeptuelle Übertragbarkeit für vulnerable Gruppen in Deutschland begrenzt.</w:t>
      </w:r>
    </w:p>
    <w:p>
      <w:r>
        <w:rPr>
          <w:color w:val="5A7D3A"/>
          <w:sz w:val="18"/>
        </w:rPr>
        <w:t>https://pubmed.ncbi.nlm.nih.gov/42881393/</w:t>
      </w:r>
    </w:p>
    <w:p>
      <w:pPr>
        <w:pStyle w:val="Heading2"/>
      </w:pPr>
      <w:r>
        <w:t>Hitzeschlag: Pathogenese und kritische Versorgung</w:t>
      </w:r>
    </w:p>
    <w:p>
      <w:r>
        <w:rPr>
          <w:i/>
          <w:color w:val="666666"/>
          <w:sz w:val="18"/>
        </w:rPr>
        <w:t>Huang Y et al.  ·  Zhonghua Wei Zhong Bing Ji Jiu Yi Xue  ·  Sept. 2026  ·  PMID 42875250</w:t>
      </w:r>
    </w:p>
    <w:p>
      <w:r>
        <w:t>Analyse der Pathophysiologie des Hitzeschlags als lebensbedrohliches Syndrom mit Körperkerntemperatur &gt;40°C und Multiorganversagen vor dem Hintergrund zunehmender Hitzeextremeereignisse.</w:t>
      </w:r>
    </w:p>
    <w:p>
      <w:r>
        <w:rPr>
          <w:b/>
        </w:rPr>
        <w:t xml:space="preserve">Ergebnis: </w:t>
      </w:r>
      <w:r>
        <w:t>Der Hitzeschlag wird als schwerste Form hitzebezogener Erkrankungen charakterisiert, mit hohen Raten schwerer Erkrankung und Mortalität. Die Studie beschreibt den Kontinuum-Charakter der Progression von milder Hitzeerkrankung zum kritischen Hitzeschlag mit Zentralnervensystem-Störungen (veränderte mentale Zustände, Anfälle, Koma) und Multiorganschäden.</w:t>
      </w:r>
    </w:p>
    <w:p>
      <w:r>
        <w:rPr>
          <w:b/>
          <w:sz w:val="19"/>
        </w:rPr>
        <w:t xml:space="preserve">Übertragbarkeit: </w:t>
      </w:r>
      <w:r>
        <w:rPr>
          <w:sz w:val="19"/>
        </w:rPr>
        <w:t>Pathophysiologische Konzepte gelten in gemäßigten Klimazonen; China, Grundlagen für klinische Entscheidungsfindung.</w:t>
      </w:r>
    </w:p>
    <w:p>
      <w:r>
        <w:rPr>
          <w:color w:val="5A7D3A"/>
          <w:sz w:val="18"/>
        </w:rPr>
        <w:t>https://pubmed.ncbi.nlm.nih.gov/42875250/</w:t>
      </w:r>
    </w:p>
    <w:p>
      <w:pPr>
        <w:pStyle w:val="Heading2"/>
      </w:pPr>
      <w:r>
        <w:t>Luftreinigung und Antibiotika-Resistenz in Innenräumen</w:t>
      </w:r>
    </w:p>
    <w:p>
      <w:r>
        <w:rPr>
          <w:i/>
          <w:color w:val="666666"/>
          <w:sz w:val="18"/>
        </w:rPr>
        <w:t>Mondéjar L et al.  ·  Front Public Health  ·  28.09.2026  ·  PMID 42865742</w:t>
      </w:r>
    </w:p>
    <w:p>
      <w:r>
        <w:t>Bewertung der Wirksamkeit portabler Luftreinigungssysteme auf kultivierbare Bakterien und Antibiotikaresistenzprofile in Büros (Valencia) und Schulklassen (Dublin) vor und nach Intervention.</w:t>
      </w:r>
    </w:p>
    <w:p>
      <w:r>
        <w:rPr>
          <w:b/>
        </w:rPr>
        <w:t xml:space="preserve">Ergebnis: </w:t>
      </w:r>
      <w:r>
        <w:t>In Büroräumen reduzierte sich die Anzahl airborne Isolate von 41 auf 5 nach Luftreinigung. Resistenzgene waren danach nicht nachweisbar. In Schulräumen sank die Zahl airborne Isolate von 102 auf 47 und die Resistenzprävalenz von 43 % auf 21 %. Oberflächenassoziierte Mikrobiota blieb stabiler. Die Luftreinigung reduzierte signifikant airborne bakterielle Besiedlung und Antibiotikaresistenzlast.</w:t>
      </w:r>
    </w:p>
    <w:p>
      <w:r>
        <w:rPr>
          <w:b/>
          <w:sz w:val="19"/>
        </w:rPr>
        <w:t xml:space="preserve">Übertragbarkeit: </w:t>
      </w:r>
      <w:r>
        <w:rPr>
          <w:sz w:val="19"/>
        </w:rPr>
        <w:t>Spanien und Irland, europäische Klimazonen; direkt anwendbar für deutsche Schulen und Büroräume.</w:t>
      </w:r>
    </w:p>
    <w:p>
      <w:r>
        <w:rPr>
          <w:color w:val="5A7D3A"/>
          <w:sz w:val="18"/>
        </w:rPr>
        <w:t>https://pubmed.ncbi.nlm.nih.gov/42865742/</w:t>
      </w:r>
    </w:p>
    <w:p>
      <w:pPr>
        <w:pStyle w:val="Heading2"/>
      </w:pPr>
      <w:r>
        <w:t>Stickstoffoxide und COVID-19-Fälle in Oklahoma</w:t>
      </w:r>
    </w:p>
    <w:p>
      <w:r>
        <w:rPr>
          <w:i/>
          <w:color w:val="666666"/>
          <w:sz w:val="18"/>
        </w:rPr>
        <w:t>Nair RR et al.  ·  J Infect Public Health  ·  09.10.2026  ·  PMID 42863447</w:t>
      </w:r>
    </w:p>
    <w:p>
      <w:r>
        <w:t>Analyse von Stickstoffdioxid (NO₂)-Konzentrationen und COVID-19-Fallzahlen auf County-Ebene in Oklahoma (2020–2022) mittels statistischer Regressionsmodelle zur Erfassung nichtlinearer Assoziationen.</w:t>
      </w:r>
    </w:p>
    <w:p>
      <w:r>
        <w:rPr>
          <w:b/>
        </w:rPr>
        <w:t xml:space="preserve">Ergebnis: </w:t>
      </w:r>
      <w:r>
        <w:t>Unter kontrollierten Modellen (Bevölkerungsdichte, County-Fläche, Anteil älterer Menschen) zeigte NO₂ die stärkste Korrelation mit COVID-19-Fallzahlen. NO₂ hatte die ausgeprägteste Assoziation bei Bevölkerungsdichte-Werten zwischen 48–75. Kohlenmonoxid zeigte signifikante negative lineare Assoziation. Population Density war der stärkste Confounder insgesamt.</w:t>
      </w:r>
    </w:p>
    <w:p>
      <w:r>
        <w:rPr>
          <w:b/>
          <w:sz w:val="19"/>
        </w:rPr>
        <w:t xml:space="preserve">Übertragbarkeit: </w:t>
      </w:r>
      <w:r>
        <w:rPr>
          <w:sz w:val="19"/>
        </w:rPr>
        <w:t>USA, Midwest; begrenzt auf regionale Luftqualität und Methodik, Bevölkerungsstruktur unterscheidet sich von Deutschland.</w:t>
      </w:r>
    </w:p>
    <w:p>
      <w:r>
        <w:rPr>
          <w:color w:val="5A7D3A"/>
          <w:sz w:val="18"/>
        </w:rPr>
        <w:t>https://pubmed.ncbi.nlm.nih.gov/42863447/</w:t>
      </w:r>
    </w:p>
    <w:p>
      <w:pPr>
        <w:pStyle w:val="Heading2"/>
      </w:pPr>
      <w:r>
        <w:t>Wasserqualität während COVID-19-Lockdown: Anthropopause-Effekte in Griechenland</w:t>
      </w:r>
    </w:p>
    <w:p>
      <w:r>
        <w:rPr>
          <w:i/>
          <w:color w:val="666666"/>
          <w:sz w:val="18"/>
        </w:rPr>
        <w:t>Theodoropoulou M et al.  ·  Environ Monit Assess  ·  06.10.2026  ·  PMID 42837016</w:t>
      </w:r>
    </w:p>
    <w:p>
      <w:r>
        <w:t>Analyse von Grundwasserqualität in einem Agrargebiet während COVID-19-Lockdown (2018–2022) mit Vergleich der Wasserbeschaffenheit vor, während und nach der Anthropopause.</w:t>
      </w:r>
    </w:p>
    <w:p>
      <w:r>
        <w:rPr>
          <w:b/>
        </w:rPr>
        <w:t xml:space="preserve">Ergebnis: </w:t>
      </w:r>
      <w:r>
        <w:t>Während der Anthropopause (Lockdown) zeigten sich signifikante Reduktionen von NO₃⁻, Cl⁻ und elektrischer Leitfähigkeit (EC), was auf verbesserte Grundwasserqualität hinweist. Nach Anstieg des Tourismus verschlechterte sich die Wasserqualität wieder. Die Ergebnisse zeigen, dass Reduktion menschlicher Aktivitäten positive Effekte auf natürliche Prozesse hat und unterstreichen die Notwendigkeit systematischer räumlich-zeitlicher Überwachung.</w:t>
      </w:r>
    </w:p>
    <w:p>
      <w:r>
        <w:rPr>
          <w:b/>
          <w:sz w:val="19"/>
        </w:rPr>
        <w:t xml:space="preserve">Übertragbarkeit: </w:t>
      </w:r>
      <w:r>
        <w:rPr>
          <w:sz w:val="19"/>
        </w:rPr>
        <w:t>Südeuropa, Mittelmeerregion; Konzepte für Umweltüberwachung und Wassergüte-Management übertragbar.</w:t>
      </w:r>
    </w:p>
    <w:p>
      <w:r>
        <w:rPr>
          <w:color w:val="5A7D3A"/>
          <w:sz w:val="18"/>
        </w:rPr>
        <w:t>https://pubmed.ncbi.nlm.nih.gov/42837016/</w:t>
      </w:r>
    </w:p>
    <w:p>
      <w:pPr>
        <w:pStyle w:val="Heading2"/>
      </w:pPr>
      <w:r>
        <w:t>Schulische Gesundheitsschutzstrategien bei Hitze- und Waldbrandextremen</w:t>
      </w:r>
    </w:p>
    <w:p>
      <w:r>
        <w:rPr>
          <w:i/>
          <w:color w:val="666666"/>
          <w:sz w:val="18"/>
        </w:rPr>
        <w:t>Sager T  ·  NASN Sch Nurse  ·  29.09.2026  ·  PMID 42808579</w:t>
      </w:r>
    </w:p>
    <w:p>
      <w:r>
        <w:t>Qualitative Analyse der Rolle von Schulkrankenpflegefachpersonen in der Anpassung von Schulen an zunehmende Hitze- und Waldbrandereignisse durch Notfallplanung, Risikokoordinierung und Schutzmaßnahmen.</w:t>
      </w:r>
    </w:p>
    <w:p>
      <w:r>
        <w:rPr>
          <w:b/>
        </w:rPr>
        <w:t xml:space="preserve">Ergebnis: </w:t>
      </w:r>
      <w:r>
        <w:t>Schulkrankenpflegefachpersonen sind als Schnittstelle zwischen Gesundheitswesen und Bildung positioniert, um Schulen bei der Bewältigung von Hitze- und Wildfeuer-Expositionen zu unterstützen. Besonders gefährdet sind Schüler mit Asthma oder chronischen Erkrankungen sowie Personal mit bestehenden Gesundheitsproblemen. Ein Preparedness-Response-Recovery-Rahmen wird empfohlen.</w:t>
      </w:r>
    </w:p>
    <w:p>
      <w:r>
        <w:rPr>
          <w:b/>
          <w:sz w:val="19"/>
        </w:rPr>
        <w:t xml:space="preserve">Übertragbarkeit: </w:t>
      </w:r>
      <w:r>
        <w:rPr>
          <w:sz w:val="19"/>
        </w:rPr>
        <w:t>USA, Klimazone und Schulstruktur teilweise übertragbar; Konzepte für deutsche Schulen adaptierbar.</w:t>
      </w:r>
    </w:p>
    <w:p>
      <w:r>
        <w:rPr>
          <w:color w:val="5A7D3A"/>
          <w:sz w:val="18"/>
        </w:rPr>
        <w:t>https://pubmed.ncbi.nlm.nih.gov/42808579/</w:t>
      </w:r>
    </w:p>
    <w:p>
      <w:pPr>
        <w:pStyle w:val="Heading1"/>
      </w:pPr>
      <w:r>
        <w:t>Aufgenommen am 16.10.2026</w:t>
      </w:r>
    </w:p>
    <w:p>
      <w:pPr>
        <w:pStyle w:val="Heading2"/>
      </w:pPr>
      <w:r>
        <w:t>Validierung von Luftqualitäts-Frühwarnsystemen in Südostasien</w:t>
      </w:r>
    </w:p>
    <w:p>
      <w:r>
        <w:rPr>
          <w:i/>
          <w:color w:val="666666"/>
          <w:sz w:val="18"/>
        </w:rPr>
        <w:t>Mahawar C et al.  ·  Front Public Health  ·  30.09.2026  ·  PMID 42877354</w:t>
      </w:r>
    </w:p>
    <w:p>
      <w:r>
        <w:t>Systematischer Review evaluierte die Vorhersagegenauigkeit verfügbarer Luftqualitäts-Frühwarnsysteme in 14 Studien aus Indien, Bangladesch und Thailand.</w:t>
      </w:r>
    </w:p>
    <w:p>
      <w:r>
        <w:rPr>
          <w:b/>
        </w:rPr>
        <w:t xml:space="preserve">Ergebnis: </w:t>
      </w:r>
      <w:r>
        <w:t>Hybrid-Deep-Learning-Modelle zeigten niedrigste RMSE (0,84–4,61 μg/m³) und höchste erklärte Varianz (R² bis 0,998). Machine-Learning erreichte bis 98,34% kategoriale Genauigkeit. Allerdings: hohes Bias-Risiko durch unzureichende externe Validierung und Overfitting in den meisten Studien.</w:t>
      </w:r>
    </w:p>
    <w:p>
      <w:r>
        <w:rPr>
          <w:b/>
          <w:sz w:val="19"/>
        </w:rPr>
        <w:t xml:space="preserve">Übertragbarkeit: </w:t>
      </w:r>
      <w:r>
        <w:rPr>
          <w:sz w:val="19"/>
        </w:rPr>
        <w:t>Nur Methodik übertragbar: Südasien hat andere Anpassungskapazität und Temperaturschwellen; externe Validierung essentiell für Systemzuverlässigkeit.</w:t>
      </w:r>
    </w:p>
    <w:p>
      <w:r>
        <w:rPr>
          <w:color w:val="5A7D3A"/>
          <w:sz w:val="18"/>
        </w:rPr>
        <w:t>https://pubmed.ncbi.nlm.nih.gov/42877354/</w:t>
      </w:r>
    </w:p>
    <w:p>
      <w:pPr>
        <w:pStyle w:val="Heading2"/>
      </w:pPr>
      <w:r>
        <w:t>Hitzeadaptation bei Großsportevents: Koordination und Frühwarnsysteme</w:t>
      </w:r>
    </w:p>
    <w:p>
      <w:r>
        <w:rPr>
          <w:i/>
          <w:color w:val="666666"/>
          <w:sz w:val="18"/>
        </w:rPr>
        <w:t>Zhang J et al.  ·  Front Public Health  ·  30.09.2026  ·  PMID 42877216</w:t>
      </w:r>
    </w:p>
    <w:p>
      <w:r>
        <w:t>Mathematisches Spieltheorie-Modell untersuchte optimale Koordination und Finanzierung von Hitzerisiko-Minderungsmaßnahmen zwischen Behörden, Veranstaltern und Teams.</w:t>
      </w:r>
    </w:p>
    <w:p>
      <w:r>
        <w:rPr>
          <w:b/>
        </w:rPr>
        <w:t xml:space="preserve">Ergebnis: </w:t>
      </w:r>
      <w:r>
        <w:t>Kooperation senkte modellierte Soziallast um 21,9% gegenüber Nash-Gleichgewicht und um 23,1% gegenüber Hierarchie-Lösung. Spitzenwert des residualen Hitzerisikos fiel um 28,0–28,7%. Effektives Vorwarnfenster lag bei 2,2–2,6 Zeiteinheiten.</w:t>
      </w:r>
    </w:p>
    <w:p>
      <w:r>
        <w:rPr>
          <w:b/>
          <w:sz w:val="19"/>
        </w:rPr>
        <w:t xml:space="preserve">Übertragbarkeit: </w:t>
      </w:r>
      <w:r>
        <w:rPr>
          <w:sz w:val="19"/>
        </w:rPr>
        <w:t>Modellstudie China: Methodik auf Großveranstaltungen weltweit anwendbar, Koordinationsprinzipien klimazonenunabhängig.</w:t>
      </w:r>
    </w:p>
    <w:p>
      <w:r>
        <w:rPr>
          <w:color w:val="5A7D3A"/>
          <w:sz w:val="18"/>
        </w:rPr>
        <w:t>https://pubmed.ncbi.nlm.nih.gov/42877216/</w:t>
      </w:r>
    </w:p>
    <w:p>
      <w:pPr>
        <w:pStyle w:val="Heading2"/>
      </w:pPr>
      <w:r>
        <w:t>Schulungsbedarf für Planetary Health in Italien</w:t>
      </w:r>
    </w:p>
    <w:p>
      <w:r>
        <w:rPr>
          <w:i/>
          <w:color w:val="666666"/>
          <w:sz w:val="18"/>
        </w:rPr>
        <w:t>Panariello F et al.  ·  Front Public Health  ·  30.09.2026  ·  PMID 42876801</w:t>
      </w:r>
    </w:p>
    <w:p>
      <w:r>
        <w:t>Explorative Befragung von 14 italienischen Institutionen (66,7% Antwortquote) zu Fortbildungsbedarfen im Bereich Umwelt- und Gesundheit.</w:t>
      </w:r>
    </w:p>
    <w:p>
      <w:r>
        <w:rPr>
          <w:b/>
        </w:rPr>
        <w:t xml:space="preserve">Ergebnis: </w:t>
      </w:r>
      <w:r>
        <w:t>Hauptbedarfe waren: Verständnis für Pollutionseffekte auf Gesundheit (78,6%), Stakeholder-Engagement (64,3%), fortgeschrittene Umweltepidemiologie (57,1%). Bevorzugte Formate: Seminare (78,6%), spezialisierte Kurzkurse (71,4%), Online-Lernen (50%).</w:t>
      </w:r>
    </w:p>
    <w:p>
      <w:r>
        <w:rPr>
          <w:b/>
          <w:sz w:val="19"/>
        </w:rPr>
        <w:t xml:space="preserve">Übertragbarkeit: </w:t>
      </w:r>
      <w:r>
        <w:rPr>
          <w:sz w:val="19"/>
        </w:rPr>
        <w:t>Italien: Direkter Bezug zu deutschsprachigen Institutionen, EU-Kontext, Prioritäten für Ausbildungsstrukturen übertragbar.</w:t>
      </w:r>
    </w:p>
    <w:p>
      <w:r>
        <w:rPr>
          <w:color w:val="5A7D3A"/>
          <w:sz w:val="18"/>
        </w:rPr>
        <w:t>https://pubmed.ncbi.nlm.nih.gov/42876801/</w:t>
      </w:r>
    </w:p>
    <w:p>
      <w:pPr>
        <w:pStyle w:val="Heading2"/>
      </w:pPr>
      <w:r>
        <w:t>Temperaturvariabilität und Zahngesundheit in der EU</w:t>
      </w:r>
    </w:p>
    <w:p>
      <w:r>
        <w:rPr>
          <w:i/>
          <w:color w:val="666666"/>
          <w:sz w:val="18"/>
        </w:rPr>
        <w:t>Lupita C et al.  ·  Front Public Health  ·  30.09.2026  ·  PMID 42876755</w:t>
      </w:r>
    </w:p>
    <w:p>
      <w:r>
        <w:t>Ökologische Panel-Analyse in 27 EU-Ländern 2016–2023 untersuchte Assoziationen zwischen Jahrestemperatur, Hitzetagen und Karies-, Parodontal- und Zahnversorgungsergebnissen.</w:t>
      </w:r>
    </w:p>
    <w:p>
      <w:r>
        <w:rPr>
          <w:b/>
        </w:rPr>
        <w:t xml:space="preserve">Ergebnis: </w:t>
      </w:r>
      <w:r>
        <w:t>Weder mittlere Jahrestemperatur noch Extremhitzeereignisse waren signifikant mit den Outcome-Variablen assoziiert (R² 0,032–0,056). Wild-Cluster-Bootstrap-Tests bestätigten Nullassoziationen auf 5%-Niveau. Nicht-lineare und Interaktionsterme waren ebenfalls nicht signifikant.</w:t>
      </w:r>
    </w:p>
    <w:p>
      <w:r>
        <w:rPr>
          <w:b/>
          <w:sz w:val="19"/>
        </w:rPr>
        <w:t xml:space="preserve">Übertragbarkeit: </w:t>
      </w:r>
      <w:r>
        <w:rPr>
          <w:sz w:val="19"/>
        </w:rPr>
        <w:t>27 EU-Länder inklusive Deutschland: Zeigt Grenzen kurzfristiger Klimavariabilität für Zahngesundheit auf; längere Paneldaten und räumlich aufgelöste Exposuremaße nötig.</w:t>
      </w:r>
    </w:p>
    <w:p>
      <w:r>
        <w:rPr>
          <w:color w:val="5A7D3A"/>
          <w:sz w:val="18"/>
        </w:rPr>
        <w:t>https://pubmed.ncbi.nlm.nih.gov/42876755/</w:t>
      </w:r>
    </w:p>
    <w:p>
      <w:pPr>
        <w:pStyle w:val="Heading2"/>
      </w:pPr>
      <w:r>
        <w:t>Verkehrsemissionen und Neuroinflammation im Vordemenzstadium</w:t>
      </w:r>
    </w:p>
    <w:p>
      <w:r>
        <w:rPr>
          <w:i/>
          <w:color w:val="666666"/>
          <w:sz w:val="18"/>
        </w:rPr>
        <w:t>Vilor-Tejedor N et al.  ·  Alzheimers Dement  ·  Okt. 2026  ·  PMID 42872554</w:t>
      </w:r>
    </w:p>
    <w:p>
      <w:r>
        <w:t>Longitudinale Kohorte mit 226 kognitiv Unauffälligen untersuchte über 3 Jahre die Assoziationen zwischen NO2-, PM10- und PM2.5-Exposition und zerebrospinalen Biomarkern.</w:t>
      </w:r>
    </w:p>
    <w:p>
      <w:r>
        <w:rPr>
          <w:b/>
        </w:rPr>
        <w:t xml:space="preserve">Ergebnis: </w:t>
      </w:r>
      <w:r>
        <w:t>Höhere Luftverschmutzung war mit longitudinalen Anstiegen von Glial Fibrillary Acidic Protein (GFAP) und IL-6 assoziiert, primär bei Frauen. GFAP vermittelte teilweise die Assoziation zwischen Schadstoffexposition und Verschlechterung der exekutiven Funktion.</w:t>
      </w:r>
    </w:p>
    <w:p>
      <w:r>
        <w:rPr>
          <w:b/>
          <w:sz w:val="19"/>
        </w:rPr>
        <w:t xml:space="preserve">Übertragbarkeit: </w:t>
      </w:r>
      <w:r>
        <w:rPr>
          <w:sz w:val="19"/>
        </w:rPr>
        <w:t>Spanien/Niederlande: Barcelona-Kohorte, europäische Methodik und Klimazone, technisch hochwertig.</w:t>
      </w:r>
    </w:p>
    <w:p>
      <w:r>
        <w:rPr>
          <w:color w:val="5A7D3A"/>
          <w:sz w:val="18"/>
        </w:rPr>
        <w:t>https://pubmed.ncbi.nlm.nih.gov/42872554/</w:t>
      </w:r>
    </w:p>
    <w:p>
      <w:pPr>
        <w:pStyle w:val="Heading2"/>
      </w:pPr>
      <w:r>
        <w:t>Luftverschmutzung und Atemwegserkrankungen im Säuglingsalter</w:t>
      </w:r>
    </w:p>
    <w:p>
      <w:r>
        <w:rPr>
          <w:i/>
          <w:color w:val="666666"/>
          <w:sz w:val="18"/>
        </w:rPr>
        <w:t>Gómez-Olarte S et al.  ·  Environ Pollut  ·  15.11.2026  ·  PMID 42680050</w:t>
      </w:r>
    </w:p>
    <w:p>
      <w:r>
        <w:t>Studie untersuchte in 606 Einjährigen die Assoziation zwischen PM2.5-, PM10- und NO2-Exposition und Bronchitis sowie Entzündungsmarker.</w:t>
      </w:r>
    </w:p>
    <w:p>
      <w:r>
        <w:rPr>
          <w:b/>
        </w:rPr>
        <w:t xml:space="preserve">Ergebnis: </w:t>
      </w:r>
      <w:r>
        <w:t>PM2.5-Exposition war bei Jungen mit erhöhter Bronchitis-Odds assoziiert (aOR 1,50, 95%-KI 1,02–2,23) und bei beiden Geschlechtern mit erhöhten IL-8-Konzentrationen verbunden (Jungen +23,8%, Mädchen +31,9%). Bei hohen Schadstoffkonzentrationen (≥60. Perzentil) zeigten sich positive Assoziationen mit IL-8 und TNF-α.</w:t>
      </w:r>
    </w:p>
    <w:p>
      <w:r>
        <w:rPr>
          <w:b/>
          <w:sz w:val="19"/>
        </w:rPr>
        <w:t xml:space="preserve">Übertragbarkeit: </w:t>
      </w:r>
      <w:r>
        <w:rPr>
          <w:sz w:val="19"/>
        </w:rPr>
        <w:t>Deutschland: Studie aus Leipzig, vergleichbare gemäßigte Klimazone und Versorgungsstruktur.</w:t>
      </w:r>
    </w:p>
    <w:p>
      <w:r>
        <w:rPr>
          <w:color w:val="5A7D3A"/>
          <w:sz w:val="18"/>
        </w:rPr>
        <w:t>https://pubmed.ncbi.nlm.nih.gov/42680050/</w:t>
      </w:r>
    </w:p>
    <w:p>
      <w:pPr>
        <w:pStyle w:val="Heading1"/>
      </w:pPr>
      <w:r>
        <w:t>Aufgenommen am 15.10.2026</w:t>
      </w:r>
    </w:p>
    <w:p>
      <w:pPr>
        <w:pStyle w:val="Heading2"/>
      </w:pPr>
      <w:r>
        <w:t>Laktat als Marker für Gerinnungskomplikationen bei Hitzschlag</w:t>
      </w:r>
    </w:p>
    <w:p>
      <w:r>
        <w:rPr>
          <w:i/>
          <w:color w:val="666666"/>
          <w:sz w:val="18"/>
        </w:rPr>
        <w:t>Liu F et al.  ·  Zhonghua Wei Zhong Bing Ji Jiu Yi Xue  ·  Sept. 2026  ·  PMID 42875244</w:t>
      </w:r>
    </w:p>
    <w:p>
      <w:r>
        <w:t>Multicenter-Kohortenstudie mit 305 Hitzschlag-Patienten untersuchte die Beziehung zwischen Serumlaktat und disseminierter intravaskulärer Gerinnung (DIC).</w:t>
      </w:r>
    </w:p>
    <w:p>
      <w:r>
        <w:rPr>
          <w:b/>
        </w:rPr>
        <w:t xml:space="preserve">Ergebnis: </w:t>
      </w:r>
      <w:r>
        <w:t>Erhöhte Laktatspiegel waren unabhängig mit erhöhtem DIC-Risiko assoziiert (OR 1,815; 95%-KI 1,494–2,203; p &lt; 0,001). Das Laktat-basierte Vorhersagemodell zeigte exzellente Diskriminationsfähigkeit (AUC 0,901; 95%-KI 0,860–0,941) mit Sensitivität 85,6 % und Spezifität 81,6 %. Laktat vermittelte 16,29 % der Beziehung zwischen Körpertemperatur und DIC.</w:t>
      </w:r>
    </w:p>
    <w:p>
      <w:r>
        <w:rPr>
          <w:b/>
          <w:sz w:val="19"/>
        </w:rPr>
        <w:t xml:space="preserve">Übertragbarkeit: </w:t>
      </w:r>
      <w:r>
        <w:rPr>
          <w:sz w:val="19"/>
        </w:rPr>
        <w:t>China; klinisch-intensivmedizinische Perspektive auf Hitzeschlag-Pathophysiologie übertragbar</w:t>
      </w:r>
    </w:p>
    <w:p>
      <w:r>
        <w:rPr>
          <w:color w:val="5A7D3A"/>
          <w:sz w:val="18"/>
        </w:rPr>
        <w:t>https://pubmed.ncbi.nlm.nih.gov/42875244/</w:t>
      </w:r>
    </w:p>
    <w:p>
      <w:pPr>
        <w:pStyle w:val="Heading2"/>
      </w:pPr>
      <w:r>
        <w:t>Von Fledermäusen übertragene Zoonosen: Klimawandel und Spillover-Risiken</w:t>
      </w:r>
    </w:p>
    <w:p>
      <w:r>
        <w:rPr>
          <w:i/>
          <w:color w:val="666666"/>
          <w:sz w:val="18"/>
        </w:rPr>
        <w:t>Stanhope J et al.  ·  BMJ  ·  14.10.2026  ·  PMID 42875048</w:t>
      </w:r>
    </w:p>
    <w:p>
      <w:r>
        <w:t>Narrative Review der evidenzgestützten Übertragungswege, klinischen Auswirkungen und Präventionsstrategien für Fledermaus-assoziierte Pathogene (Ebola, Marburg, Nipah, Hendra, Tollwut, australisches Lyssavirus, Histoplasma).</w:t>
      </w:r>
    </w:p>
    <w:p>
      <w:r>
        <w:rPr>
          <w:b/>
        </w:rPr>
        <w:t xml:space="preserve">Ergebnis: </w:t>
      </w:r>
      <w:r>
        <w:t>Klimawandel und Biodiversitätsverlust treiben das Spillover-Risiko von sieben bedeutenden human-pathogenen Erregern. Überlebende berichten anhaltende neurologische und neuropsychiatrische Langzeitfolgen. Präventionsstrategien umfassen ökologische Stewardship, Reduktion der Exposition von Mensch und Haustieren, Isolation Infizierter und Vakzination; für Histoplasma und Ebolavirus sind nun spezifische Therapeutika verfügbar.</w:t>
      </w:r>
    </w:p>
    <w:p>
      <w:r>
        <w:rPr>
          <w:b/>
          <w:sz w:val="19"/>
        </w:rPr>
        <w:t xml:space="preserve">Übertragbarkeit: </w:t>
      </w:r>
      <w:r>
        <w:rPr>
          <w:sz w:val="19"/>
        </w:rPr>
        <w:t>Review; Prinzipien der Zoonose-Prävention und Klimaadaptation klimazonenübergreifend relevant</w:t>
      </w:r>
    </w:p>
    <w:p>
      <w:r>
        <w:rPr>
          <w:color w:val="5A7D3A"/>
          <w:sz w:val="18"/>
        </w:rPr>
        <w:t>https://pubmed.ncbi.nlm.nih.gov/42875048/</w:t>
      </w:r>
    </w:p>
    <w:p>
      <w:pPr>
        <w:pStyle w:val="Heading2"/>
      </w:pPr>
      <w:r>
        <w:t>Globale Coexposition gegenüber Hitzewellen und Waldbrandrauch nimmt zu</w:t>
      </w:r>
    </w:p>
    <w:p>
      <w:r>
        <w:rPr>
          <w:i/>
          <w:color w:val="666666"/>
          <w:sz w:val="18"/>
        </w:rPr>
        <w:t>Wu Y et al.  ·  Sci Adv  ·  16.10.2026  ·  PMID 42873846</w:t>
      </w:r>
    </w:p>
    <w:p>
      <w:r>
        <w:t>Die Studie quantifiziert die weltweite Bevölkerung, die gleichzeitig Hitzewellen und Luftverschmutzung aus Waldbränden ausgesetzt ist, über den Zeitraum 2000–2019.</w:t>
      </w:r>
    </w:p>
    <w:p>
      <w:r>
        <w:rPr>
          <w:b/>
        </w:rPr>
        <w:t xml:space="preserve">Ergebnis: </w:t>
      </w:r>
      <w:r>
        <w:t>52,4 % der bevölkerten Gebiete und 55,9 % der Weltbevölkerung erlebten steigende Coexposition. Im Durchschnitt waren 916 Millionen Menschen pro Jahr mindestens einen Tag betroffen, mit Anstieg um 287 Millionen pro Jahrzehnt. Die durchschnittliche Expositionsdauer pro Person stieg von 1,0 Tagen (2000–2009) auf 1,7 Tage (2010–2019). Länder mit niedrigem Entwicklungsindex waren am stärksten betroffen.</w:t>
      </w:r>
    </w:p>
    <w:p>
      <w:r>
        <w:rPr>
          <w:b/>
          <w:sz w:val="19"/>
        </w:rPr>
        <w:t xml:space="preserve">Übertragbarkeit: </w:t>
      </w:r>
      <w:r>
        <w:rPr>
          <w:sz w:val="19"/>
        </w:rPr>
        <w:t>Methodik zur Quantifizierung kombinierter Extremwetter-Expositionen; globale Trends übertragbar auf Risikomodellierung</w:t>
      </w:r>
    </w:p>
    <w:p>
      <w:r>
        <w:rPr>
          <w:color w:val="5A7D3A"/>
          <w:sz w:val="18"/>
        </w:rPr>
        <w:t>https://pubmed.ncbi.nlm.nih.gov/42873846/</w:t>
      </w:r>
    </w:p>
    <w:p>
      <w:pPr>
        <w:pStyle w:val="Heading2"/>
      </w:pPr>
      <w:r>
        <w:t>Klimakrise und psychische Gesundheit: Unsicherheit als Treiber von Angststörungen</w:t>
      </w:r>
    </w:p>
    <w:p>
      <w:r>
        <w:rPr>
          <w:i/>
          <w:color w:val="666666"/>
          <w:sz w:val="18"/>
        </w:rPr>
        <w:t>Zysset A et al.  ·  Front Public Health  ·  29.09.2026  ·  PMID 42871219</w:t>
      </w:r>
    </w:p>
    <w:p>
      <w:r>
        <w:t>Längsschnitt-Studie an Schweizer Studierenden (N = 1.001) untersuchte die Assoziation zwischen Unsicherheit (persönlich und klimabezogen) und Angstsymptomen post-COVID.</w:t>
      </w:r>
    </w:p>
    <w:p>
      <w:r>
        <w:rPr>
          <w:b/>
        </w:rPr>
        <w:t xml:space="preserve">Ergebnis: </w:t>
      </w:r>
      <w:r>
        <w:t>Unsicherheit war positiv mit Angstsymptomen assoziiert (β = 0,50; 95%-KI 0,44–0,56). Selbstwirksamkeit (β = −0,22; 95%-KI −0,29, −0,15) und Resilienz (β = −0,08; 95%-KI −0,29, −0,03) waren negativ assoziiert. Das Modell erklärte 39 % der Angstsymptome. Angstniveaus zeigten post-COVID Plateau, nicht Rückgang.</w:t>
      </w:r>
    </w:p>
    <w:p>
      <w:r>
        <w:rPr>
          <w:b/>
          <w:sz w:val="19"/>
        </w:rPr>
        <w:t xml:space="preserve">Übertragbarkeit: </w:t>
      </w:r>
      <w:r>
        <w:rPr>
          <w:sz w:val="19"/>
        </w:rPr>
        <w:t>Schweiz; gemäßigte Klimazone; Unsicherheit als psychischer Klima-Krankheitsmechanismus</w:t>
      </w:r>
    </w:p>
    <w:p>
      <w:r>
        <w:rPr>
          <w:color w:val="5A7D3A"/>
          <w:sz w:val="18"/>
        </w:rPr>
        <w:t>https://pubmed.ncbi.nlm.nih.gov/42871219/</w:t>
      </w:r>
    </w:p>
    <w:p>
      <w:pPr>
        <w:pStyle w:val="Heading2"/>
      </w:pPr>
      <w:r>
        <w:t>Automatisierte Pollenüberwachung für Asthma-Vorhersage</w:t>
      </w:r>
    </w:p>
    <w:p>
      <w:r>
        <w:rPr>
          <w:i/>
          <w:color w:val="666666"/>
          <w:sz w:val="18"/>
        </w:rPr>
        <w:t>Lampugnani ER et al.  ·  Environ Monit Assess  ·  13.10.2026  ·  PMID 42870105</w:t>
      </w:r>
    </w:p>
    <w:p>
      <w:r>
        <w:t>Validierungsstudie der automatisierten Pollenmesskammer SwisensPoleno Mars gegen manuelle Burkard-Methode in Melbourne zur Vorhersage von Gewitter-assoziiertem Asthma.</w:t>
      </w:r>
    </w:p>
    <w:p>
      <w:r>
        <w:rPr>
          <w:b/>
        </w:rPr>
        <w:t xml:space="preserve">Ergebnis: </w:t>
      </w:r>
      <w:r>
        <w:t>Starke Korrelation für Gesamtpollen (R² = 0,92), Gräser (R² = 0,92) und Zypresse (R² = 0,86). Gräserpollen, zentral für Gewitter-Asthma-Prognosen, zeigten besonders hohe Übereinstimmung und konsistente Klassifizierung in operative Risikoschwellen. Das automatisierte System reproduzierte erwartete Tagesrhythmen.</w:t>
      </w:r>
    </w:p>
    <w:p>
      <w:r>
        <w:rPr>
          <w:b/>
          <w:sz w:val="19"/>
        </w:rPr>
        <w:t xml:space="preserve">Übertragbarkeit: </w:t>
      </w:r>
      <w:r>
        <w:rPr>
          <w:sz w:val="19"/>
        </w:rPr>
        <w:t>Australien; Methodik und Schwellwerte nicht auf gemäßigte Zone übertragbar, aber Technik relevant</w:t>
      </w:r>
    </w:p>
    <w:p>
      <w:r>
        <w:rPr>
          <w:color w:val="5A7D3A"/>
          <w:sz w:val="18"/>
        </w:rPr>
        <w:t>https://pubmed.ncbi.nlm.nih.gov/42870105/</w:t>
      </w:r>
    </w:p>
    <w:p>
      <w:pPr>
        <w:pStyle w:val="Heading2"/>
      </w:pPr>
      <w:r>
        <w:t>Luftgestützte Mikroplastik: Exposition, Quellen und Gesundheitsrisiken</w:t>
      </w:r>
    </w:p>
    <w:p>
      <w:r>
        <w:rPr>
          <w:i/>
          <w:color w:val="666666"/>
          <w:sz w:val="18"/>
        </w:rPr>
        <w:t>Cao L et al.  ·  Environ Monit Assess  ·  07.10.2026  ·  PMID 42844460</w:t>
      </w:r>
    </w:p>
    <w:p>
      <w:r>
        <w:t>Systematische Review von 161 Publikationen (2021–2025) zur physikalischen Charakterisierung, Verteilung, menschlichen Exposition und Toxikologie von atmosphärischen Mikroplastiken.</w:t>
      </w:r>
    </w:p>
    <w:p>
      <w:r>
        <w:rPr>
          <w:b/>
        </w:rPr>
        <w:t xml:space="preserve">Ergebnis: </w:t>
      </w:r>
      <w:r>
        <w:t>Inhalation und dermale Exposition als Hauptaufnahmepfade; Partikel &lt; 10 μm penetrieren Atemwegsbarrieren. Systematische Diskrepanz von Faktor 10–100 zwischen aktiver und passiver Probenahme. Indoorkonzentrationen stark abhängig von Lüftung und lokalisierten Punktquellen. Molekulare Wirkmechanismen: oxidativer Stress und Entzündungsantwort; Langzeitvergiftungsmechanismen noch unklar.</w:t>
      </w:r>
    </w:p>
    <w:p>
      <w:r>
        <w:rPr>
          <w:b/>
          <w:sz w:val="19"/>
        </w:rPr>
        <w:t xml:space="preserve">Übertragbarkeit: </w:t>
      </w:r>
      <w:r>
        <w:rPr>
          <w:sz w:val="19"/>
        </w:rPr>
        <w:t>Klimaunabhängige Umweltexposition; Methodik-Standardisierung global relevant</w:t>
      </w:r>
    </w:p>
    <w:p>
      <w:r>
        <w:rPr>
          <w:color w:val="5A7D3A"/>
          <w:sz w:val="18"/>
        </w:rPr>
        <w:t>https://pubmed.ncbi.nlm.nih.gov/42844460/</w:t>
      </w:r>
    </w:p>
    <w:p>
      <w:pPr>
        <w:pStyle w:val="Heading1"/>
      </w:pPr>
      <w:r>
        <w:t>Aufgenommen am 14.10.2026</w:t>
      </w:r>
    </w:p>
    <w:p>
      <w:pPr>
        <w:pStyle w:val="Heading2"/>
      </w:pPr>
      <w:r>
        <w:t>Temperaturextreme und Autoimmunerkrankungen</w:t>
      </w:r>
    </w:p>
    <w:p>
      <w:r>
        <w:rPr>
          <w:i/>
          <w:color w:val="666666"/>
          <w:sz w:val="18"/>
        </w:rPr>
        <w:t>Robichon K et al.  ·  Semin Immunopathol  ·  13.10.2026  ·  PMID 42867511</w:t>
      </w:r>
    </w:p>
    <w:p>
      <w:r>
        <w:t>Narrative Übersichtsarbeit über die biologischen Mechanismen, durch die Hitze und Kälte die Entwicklung und den Krankheitsverlauf von Autoimmunerkrankungen beeinflussen.</w:t>
      </w:r>
    </w:p>
    <w:p>
      <w:r>
        <w:rPr>
          <w:b/>
        </w:rPr>
        <w:t xml:space="preserve">Ergebnis: </w:t>
      </w:r>
      <w:r>
        <w:t>Hitze und Kälte verändern Immunzellfunktion durch Effekte auf Zellsignalisierung, Zytokinproduktion und Barrierenintegrität. Evidenz zeigt saisonale/regionale Temperaturmuster mit Raten von Autoimmunerkrankungen assoziiert; Hitzewellen verschärfen Fatigue und neurologische Symptome bei Multipler Sklerose, Kältephasen triggern Gefäßverengung und Gewebenekrose bei systemischer Sklerose.</w:t>
      </w:r>
    </w:p>
    <w:p>
      <w:r>
        <w:rPr>
          <w:b/>
          <w:sz w:val="19"/>
        </w:rPr>
        <w:t xml:space="preserve">Übertragbarkeit: </w:t>
      </w:r>
      <w:r>
        <w:rPr>
          <w:sz w:val="19"/>
        </w:rPr>
        <w:t>Mitteleuropäische Klimazone, mechanismusbasierte Prinzipien unabhängig von Temperaturschwellen</w:t>
      </w:r>
    </w:p>
    <w:p>
      <w:r>
        <w:rPr>
          <w:color w:val="5A7D3A"/>
          <w:sz w:val="18"/>
        </w:rPr>
        <w:t>https://pubmed.ncbi.nlm.nih.gov/42867511/</w:t>
      </w:r>
    </w:p>
    <w:p>
      <w:pPr>
        <w:pStyle w:val="Heading2"/>
      </w:pPr>
      <w:r>
        <w:t>Kyasanur-Waldkrankheit: Klimawandel und Zoonose-Risiko in Europa</w:t>
      </w:r>
    </w:p>
    <w:p>
      <w:r>
        <w:rPr>
          <w:i/>
          <w:color w:val="666666"/>
          <w:sz w:val="18"/>
        </w:rPr>
        <w:t>Špačková M et al.  ·  Epidemiol Mikrobiol Imunol  ·  2026  ·  PMID 42859865</w:t>
      </w:r>
    </w:p>
    <w:p>
      <w:r>
        <w:t>Narrative Übersichtsarbeit zur Kyasanur-Waldkrankheit, einer durch Klimawandel, Entwaldung und erhöhten Menschenkontakt mit Wäldern expandierenden Zoonose in Indien, mit Bewertung des Risikos für die Tschechische Republik.</w:t>
      </w:r>
    </w:p>
    <w:p>
      <w:r>
        <w:rPr>
          <w:b/>
        </w:rPr>
        <w:t xml:space="preserve">Ergebnis: </w:t>
      </w:r>
      <w:r>
        <w:t>Kyasanur-Waldkrankheit ist eine Zecken-übertragene hämorrhagische Erkrankung mit Fallsterblichkeit 3–10%; Fälle in Indien nehmen zu, Verbreitungsgebiet expandiert. Ausbreitungsgebiete an Klimawandel, Entwaldung und menschliche Waldkontakte gebunden. In der Tschechischen Republik bislang nicht gemeldet, aber importierte Fälle nach Reisen möglich. One-Health-Ansatz und verstärkte Surveillance arboviraler Erreger in Mitteleuropa erforderlich.</w:t>
      </w:r>
    </w:p>
    <w:p>
      <w:r>
        <w:rPr>
          <w:b/>
          <w:sz w:val="19"/>
        </w:rPr>
        <w:t xml:space="preserve">Übertragbarkeit: </w:t>
      </w:r>
      <w:r>
        <w:rPr>
          <w:sz w:val="19"/>
        </w:rPr>
        <w:t>Mitteleuropa, klimazonale Anpassung aktuell nicht betroffen; Surveillance-Struktur und One-Health-Prinzipien relevant</w:t>
      </w:r>
    </w:p>
    <w:p>
      <w:r>
        <w:rPr>
          <w:color w:val="5A7D3A"/>
          <w:sz w:val="18"/>
        </w:rPr>
        <w:t>https://pubmed.ncbi.nlm.nih.gov/42859865/</w:t>
      </w:r>
    </w:p>
    <w:p>
      <w:pPr>
        <w:pStyle w:val="Heading2"/>
      </w:pPr>
      <w:r>
        <w:t>Luftverschmutzung und Frühauftreten von Lungenkrebs</w:t>
      </w:r>
    </w:p>
    <w:p>
      <w:r>
        <w:rPr>
          <w:i/>
          <w:color w:val="666666"/>
          <w:sz w:val="18"/>
        </w:rPr>
        <w:t>Gao YY et al.  ·  Carcinogenesis  ·  07.07.2026  ·  PMID 42830393</w:t>
      </w:r>
    </w:p>
    <w:p>
      <w:r>
        <w:t>Narrative Übersichtsarbeit zu Mechanismen, durch die Luft- und Haushaltsverschmutzung frühe Lungenkarzinogenese antreiben, und zu frühen Biomarkern und Chemoprävention.</w:t>
      </w:r>
    </w:p>
    <w:p>
      <w:r>
        <w:rPr>
          <w:b/>
        </w:rPr>
        <w:t xml:space="preserve">Ergebnis: </w:t>
      </w:r>
      <w:r>
        <w:t>Luftverschmutzung (PM2,5, PM10) ist für &gt;14% der globalen Lungenkrebstodesfälle verantwortlich. 99% der Weltbevölkerung atmet Luft über WHO-Richtliniengrenzen (5 μg/m³ PM2,5, 15 μg/m³ PM10). Mechanismen: DNA-Schaden, Telomerverkürzung, mitochondriale Beeinträchtigung, chronische Inflammation (CXCL13, IL-1β), Immunevasion (PD-L1, CD47-SIRPα), Dysbiose. Validierte Frühbiomarker vorhanden; Multimarker-Kombinationen zeigen verbesserte Effizienz.</w:t>
      </w:r>
    </w:p>
    <w:p>
      <w:r>
        <w:rPr>
          <w:b/>
          <w:sz w:val="19"/>
        </w:rPr>
        <w:t xml:space="preserve">Übertragbarkeit: </w:t>
      </w:r>
      <w:r>
        <w:rPr>
          <w:sz w:val="19"/>
        </w:rPr>
        <w:t>Global relevant, absolute Schwellwerte für Deutschland übertragbar</w:t>
      </w:r>
    </w:p>
    <w:p>
      <w:r>
        <w:rPr>
          <w:color w:val="5A7D3A"/>
          <w:sz w:val="18"/>
        </w:rPr>
        <w:t>https://pubmed.ncbi.nlm.nih.gov/42830393/</w:t>
      </w:r>
    </w:p>
    <w:p>
      <w:pPr>
        <w:pStyle w:val="Heading2"/>
      </w:pPr>
      <w:r>
        <w:t>Luftschadstoffexposition in der Frühschwangerschaft und angeborene Herzfehler</w:t>
      </w:r>
    </w:p>
    <w:p>
      <w:r>
        <w:rPr>
          <w:i/>
          <w:color w:val="666666"/>
          <w:sz w:val="18"/>
        </w:rPr>
        <w:t>Kukshal P et al.  ·  Indian J Pediatr  ·  02.10.2026  ·  PMID 42825890</w:t>
      </w:r>
    </w:p>
    <w:p>
      <w:r>
        <w:t>Fall-Kontroll-Studie mit 1.556 Teilnehmern (1.115 Fälle, 441 Kontrollen) zur Assoziation perikonzeptioneller Luftschadstoffexposition (PM2,5, PM10, NO2, AQI) mit angeborenen Herzfehlern in Delhi-NCR.</w:t>
      </w:r>
    </w:p>
    <w:p>
      <w:r>
        <w:rPr>
          <w:b/>
        </w:rPr>
        <w:t xml:space="preserve">Ergebnis: </w:t>
      </w:r>
      <w:r>
        <w:t>Perikonzeptionelle Exposition gegenüber schlechtem AQI und PM10 signifikant assoziiert mit erhöhtem Risiko angeborener Herzfehler. Post-Konzeptionsperiode zeigte stärkste Assoziationen: schlechter AQI für alle Herzfehler (AOR=2,74, 95%-KI: 1,78–4,22), PM10 für alle Herzfehler (AOR=3,36, 95%-KI: 2,05–5,52); Ventrikelseptumdefekt konsistent mit PM10 assoziiert (prä-konzeptionell AOR=3,13, post-konzeptionell AOR=4,35).</w:t>
      </w:r>
    </w:p>
    <w:p>
      <w:r>
        <w:rPr>
          <w:b/>
          <w:sz w:val="19"/>
        </w:rPr>
        <w:t xml:space="preserve">Übertragbarkeit: </w:t>
      </w:r>
      <w:r>
        <w:rPr>
          <w:sz w:val="19"/>
        </w:rPr>
        <w:t>Südasien, Temperaturschwellen nicht übertragbar; Expositionsfenster-Methodik und Präventionsprinzipien anwendbar</w:t>
      </w:r>
    </w:p>
    <w:p>
      <w:r>
        <w:rPr>
          <w:color w:val="5A7D3A"/>
          <w:sz w:val="18"/>
        </w:rPr>
        <w:t>https://pubmed.ncbi.nlm.nih.gov/42825890/</w:t>
      </w:r>
    </w:p>
    <w:p>
      <w:pPr>
        <w:pStyle w:val="Heading2"/>
      </w:pPr>
      <w:r>
        <w:t>Todesfälle durch Hitze und Hitzschlag bei Kindern und Erwachsenen</w:t>
      </w:r>
    </w:p>
    <w:p>
      <w:r>
        <w:rPr>
          <w:i/>
          <w:color w:val="666666"/>
          <w:sz w:val="18"/>
        </w:rPr>
        <w:t>Can A et al.  ·  Leg Med (Tokyo)  ·  29.09.2026  ·  PMID 42815323</w:t>
      </w:r>
    </w:p>
    <w:p>
      <w:r>
        <w:t>Retrospektive Obduktionsanalyse von 22 Hitzschlag-Todesfällen (2015–2024) in der Türkei zur Charakterisierung demografischer, umgebungsbezogener und pathologischer Muster bei Kindern und Erwachsenen.</w:t>
      </w:r>
    </w:p>
    <w:p>
      <w:r>
        <w:rPr>
          <w:b/>
        </w:rPr>
        <w:t xml:space="preserve">Ergebnis: </w:t>
      </w:r>
      <w:r>
        <w:t>12 Kinder, 10 Erwachsene; 68,2% männlich. 91,7% der Kindertodesfälle in geparkten Fahrzeugen; Erwachsenentodesfälle überwiegend im Freien und berufliche Exposition. Maximale Umgebungstemperatur ≥35 °C an 72,7% der Tage (Median 37,0 °C). 86,4% ohne vorherigen Arztkontakt. Keine spezifische Obduktionsfindung; Diagnose beruhte auf Szene-/Meteorologiedaten plus Ausschlussdiagnose.</w:t>
      </w:r>
    </w:p>
    <w:p>
      <w:r>
        <w:rPr>
          <w:b/>
          <w:sz w:val="19"/>
        </w:rPr>
        <w:t xml:space="preserve">Übertragbarkeit: </w:t>
      </w:r>
      <w:r>
        <w:rPr>
          <w:sz w:val="19"/>
        </w:rPr>
        <w:t>Südtürkei, klimawärmer als Deutschland; Präventionsansätze nach Alter/Expositionskontext übertragbar</w:t>
      </w:r>
    </w:p>
    <w:p>
      <w:r>
        <w:rPr>
          <w:color w:val="5A7D3A"/>
          <w:sz w:val="18"/>
        </w:rPr>
        <w:t>https://pubmed.ncbi.nlm.nih.gov/42815323/</w:t>
      </w:r>
    </w:p>
    <w:p>
      <w:pPr>
        <w:pStyle w:val="Heading2"/>
      </w:pPr>
      <w:r>
        <w:t>Grünflächenausstattung und mentale Gesundheit in französischer Stadt</w:t>
      </w:r>
    </w:p>
    <w:p>
      <w:r>
        <w:rPr>
          <w:i/>
          <w:color w:val="666666"/>
          <w:sz w:val="18"/>
        </w:rPr>
        <w:t>Sicard P et al.  ·  J Environ Manage  ·  01.10.2026  ·  PMID 42784923</w:t>
      </w:r>
    </w:p>
    <w:p>
      <w:r>
        <w:t>Querschnittsstudie mit 1.195 Erwachsenen in Aix-en-Provence zur Assoziation von Grünflächenverfügbarkeit (3-30-300 Regel) mit selbstberichteter psychischer Gesundheit und Verhaltensoutcomes.</w:t>
      </w:r>
    </w:p>
    <w:p>
      <w:r>
        <w:rPr>
          <w:b/>
        </w:rPr>
        <w:t xml:space="preserve">Ergebnis: </w:t>
      </w:r>
      <w:r>
        <w:t>Höhere Baumbestände im Distrikt assoziiert mit besserer Schlafqualität (β=0,0059, 95%-KI: 0,0017–0,0101), weniger Traurheit (β=−0,0066, 95%-KI: −0,0125–−0,0006) und Angstsymptomen (β=−0,0073, 95%-KI: −0,0159–0,0014); Gebäude mit mindestens zwei Komponenten der 3-30-300 Regel assoziiert mit besserer mentaler Gesundheit (β=0,0054) und niedrigerem Stress (β=−0,0081, p&lt;0,05).</w:t>
      </w:r>
    </w:p>
    <w:p>
      <w:r>
        <w:rPr>
          <w:b/>
          <w:sz w:val="19"/>
        </w:rPr>
        <w:t xml:space="preserve">Übertragbarkeit: </w:t>
      </w:r>
      <w:r>
        <w:rPr>
          <w:sz w:val="19"/>
        </w:rPr>
        <w:t>Südeuropa, urbane Planungsprinzipien auf mediterrane Mittelstadt übertragbar</w:t>
      </w:r>
    </w:p>
    <w:p>
      <w:r>
        <w:rPr>
          <w:color w:val="5A7D3A"/>
          <w:sz w:val="18"/>
        </w:rPr>
        <w:t>https://pubmed.ncbi.nlm.nih.gov/42784923/</w:t>
      </w:r>
    </w:p>
    <w:p>
      <w:pPr>
        <w:pStyle w:val="Heading1"/>
      </w:pPr>
      <w:r>
        <w:t>Aufgenommen am 13.10.2026</w:t>
      </w:r>
    </w:p>
    <w:p>
      <w:pPr>
        <w:pStyle w:val="Heading2"/>
      </w:pPr>
      <w:r>
        <w:t>Fleischalternativen: Verbraucher akzeptieren Fleisch-Nomenklatur, aber wünschen transparentere Kennzeichnung</w:t>
      </w:r>
    </w:p>
    <w:p>
      <w:r>
        <w:rPr>
          <w:i/>
          <w:color w:val="666666"/>
          <w:sz w:val="18"/>
        </w:rPr>
        <w:t>Ketelings L et al.  ·  Front Public Health  ·  22.09.2026  ·  PMID 42840042</w:t>
      </w:r>
    </w:p>
    <w:p>
      <w:r>
        <w:t>Fokusgruppenstudie mit niederländischen Verbrauchern unterschiedlicher Fleischkonsumgewohnheiten zu Wahrnehmung und Erwartungen bei Kennzeichnung von Fleischalternativen im Kontext Nachhaltigkeit und Klimaschutz.</w:t>
      </w:r>
    </w:p>
    <w:p>
      <w:r>
        <w:rPr>
          <w:b/>
        </w:rPr>
        <w:t xml:space="preserve">Ergebnis: </w:t>
      </w:r>
      <w:r>
        <w:t>Kernfunde: Produktbezeichnung, Positionierung und Glaubwürdigkeitsattribute prägen Kundenerwartungen. Verbraucher berichten keine unbeabsichtigten Käufe, äußern aber Bedenken vor Irreführung; fleischähnliche Nomenklatur hilft bei Vertrautheit und Produktverständnis. Forderung nach standardisierten, transparenten Kennzeichnungspraktiken zur Verbraucherschutz und Unterstützung nachhaltiger Adoption.</w:t>
      </w:r>
    </w:p>
    <w:p>
      <w:r>
        <w:rPr>
          <w:b/>
          <w:sz w:val="19"/>
        </w:rPr>
        <w:t xml:space="preserve">Übertragbarkeit: </w:t>
      </w:r>
      <w:r>
        <w:rPr>
          <w:sz w:val="19"/>
        </w:rPr>
        <w:t>Niederlande; direkt auf deutschsprachigen Raum übertragbar, vergleichbare Verbrauchererwartungen</w:t>
      </w:r>
    </w:p>
    <w:p>
      <w:r>
        <w:rPr>
          <w:color w:val="5A7D3A"/>
          <w:sz w:val="18"/>
        </w:rPr>
        <w:t>https://pubmed.ncbi.nlm.nih.gov/42840042/</w:t>
      </w:r>
    </w:p>
    <w:p>
      <w:pPr>
        <w:pStyle w:val="Heading2"/>
      </w:pPr>
      <w:r>
        <w:t>Klimawandel und Fasciola-Übertragung: Risiken in Nordeuropa steigen, in Westafrika sinken</w:t>
      </w:r>
    </w:p>
    <w:p>
      <w:r>
        <w:rPr>
          <w:i/>
          <w:color w:val="666666"/>
          <w:sz w:val="18"/>
        </w:rPr>
        <w:t>van der Deure T et al.  ·  PLoS Negl Trop Dis  ·  05.10.2026  ·  PMID 42832590</w:t>
      </w:r>
    </w:p>
    <w:p>
      <w:r>
        <w:t>Entwicklung eines Risikoindex zur Prognose von Leberegelinfektionen (F. hepatica und F. gigantica) unter Klimawandel in Afrika und Europa basierend auf Temperaturabhängigkeit der Parasitenentwicklung, Schneckenverbreitung und Gewässerverfügbarkeit.</w:t>
      </w:r>
    </w:p>
    <w:p>
      <w:r>
        <w:rPr>
          <w:b/>
        </w:rPr>
        <w:t xml:space="preserve">Ergebnis: </w:t>
      </w:r>
      <w:r>
        <w:t>F. gigantica-Risiko sinkt in Sahel und Westafrika; F. hepatica-Risiko nimmt in Nordeuropa, Skandinavien und Island zu, wo Viehdichten hoch sind. Hybridisierungsrisiko beider Arten geht zurück aufgrund reduzierter geografischer Überlappung.</w:t>
      </w:r>
    </w:p>
    <w:p>
      <w:r>
        <w:rPr>
          <w:b/>
          <w:sz w:val="19"/>
        </w:rPr>
        <w:t xml:space="preserve">Übertragbarkeit: </w:t>
      </w:r>
      <w:r>
        <w:rPr>
          <w:sz w:val="19"/>
        </w:rPr>
        <w:t>Nordeuropa betroffen; Methodik und Risikoabschätzung übertragbar auf gemäßigte Zonen</w:t>
      </w:r>
    </w:p>
    <w:p>
      <w:r>
        <w:rPr>
          <w:color w:val="5A7D3A"/>
          <w:sz w:val="18"/>
        </w:rPr>
        <w:t>https://pubmed.ncbi.nlm.nih.gov/42832590/</w:t>
      </w:r>
    </w:p>
    <w:p>
      <w:pPr>
        <w:pStyle w:val="Heading2"/>
      </w:pPr>
      <w:r>
        <w:t>Klimawandel verschärft Flugverkehr-Vereisungsrisiken: Eismeldungen in China um 500 m/Jahr angestiegen</w:t>
      </w:r>
    </w:p>
    <w:p>
      <w:r>
        <w:rPr>
          <w:i/>
          <w:color w:val="666666"/>
          <w:sz w:val="18"/>
        </w:rPr>
        <w:t>Zhang W et al.  ·  J Environ Sci (China)  ·  01.02.2026  ·  PMID 42822913</w:t>
      </w:r>
    </w:p>
    <w:p>
      <w:r>
        <w:t>Analyse von 13 Jahren (2011–2023) Piloten-Vereisungsmeldungen (PIREPs) in China zur Erfassung von Häufigkeit, räumlichen Mustern, Vertikalverteilung und zeitlichen Trends sowie deren Zusammenhang mit Klimawandel, Topografie, Wirtschaftsaktivität und Aerosol-Emissionen.</w:t>
      </w:r>
    </w:p>
    <w:p>
      <w:r>
        <w:rPr>
          <w:b/>
        </w:rPr>
        <w:t xml:space="preserve">Ergebnis: </w:t>
      </w:r>
      <w:r>
        <w:t>Deutlicher räumlicher Gradient (Südwesten höchste Häufigkeit); Vertikalstratifikation mit Spitzenwert 2–8 km Höhe; winterliche Dominanz (7,3-fach höher als Sommer); auffällige Aufwärtsverschiebung der primären Vereisungsschicht um ~500 m/Jahr ab 2018, korrelierend mit steigenden Gefriergrenzenhöhen unter globaler Erwärmung.</w:t>
      </w:r>
    </w:p>
    <w:p>
      <w:r>
        <w:rPr>
          <w:b/>
          <w:sz w:val="19"/>
        </w:rPr>
        <w:t xml:space="preserve">Übertragbarkeit: </w:t>
      </w:r>
      <w:r>
        <w:rPr>
          <w:sz w:val="19"/>
        </w:rPr>
        <w:t>China; Methodik auf gemäßigte Zonen übertragbar, regionale Temperaturtrends sind klimaabhängig</w:t>
      </w:r>
    </w:p>
    <w:p>
      <w:r>
        <w:rPr>
          <w:color w:val="5A7D3A"/>
          <w:sz w:val="18"/>
        </w:rPr>
        <w:t>https://pubmed.ncbi.nlm.nih.gov/42822913/</w:t>
      </w:r>
    </w:p>
    <w:p>
      <w:pPr>
        <w:pStyle w:val="Heading2"/>
      </w:pPr>
      <w:r>
        <w:t>Umweltbelastung und Gehirn: Tägliche Schwankungen in Luftqualität und Lärm beeinflussen Hirnstruktur</w:t>
      </w:r>
    </w:p>
    <w:p>
      <w:r>
        <w:rPr>
          <w:i/>
          <w:color w:val="666666"/>
          <w:sz w:val="18"/>
        </w:rPr>
        <w:t>Falkenstein K et al.  ·  BMC Neurosci  ·  23.09.2026  ·  PMID 42778897</w:t>
      </w:r>
    </w:p>
    <w:p>
      <w:r>
        <w:t>Studienprotokoll für Langzeitstudie mit 30 Teilnehmern über 25 Messsitzungen zur Erfassung tagesdurchschnittlicher Umweltvariationen (Luftqualität, Lärm, Lichteexposition, physische Aktivität) und deren Auswirkungen auf Hirnstruktur, -funktion und Wohlbefinden mittels Neuroimaging und tragbarer Sensoren.</w:t>
      </w:r>
    </w:p>
    <w:p>
      <w:r>
        <w:rPr>
          <w:b/>
        </w:rPr>
        <w:t xml:space="preserve">Ergebnis: </w:t>
      </w:r>
      <w:r>
        <w:t>Studiendesign zur Erfassung von Zusammenhängen zwischen alltäglicher Umweltexposition und kurzfristiger Neuroplastizität etabliert; Dataset umfasst multimodale Neuroimaging-Messungen (T1/T2*-gewichtet, Diffusions-Tensor-Imaging) sowie kontinuierliche Umwelt- und physiologische Tracking-Daten.</w:t>
      </w:r>
    </w:p>
    <w:p>
      <w:r>
        <w:rPr>
          <w:b/>
          <w:sz w:val="19"/>
        </w:rPr>
        <w:t xml:space="preserve">Übertragbarkeit: </w:t>
      </w:r>
      <w:r>
        <w:rPr>
          <w:sz w:val="19"/>
        </w:rPr>
        <w:t>Deutschland (Berlin/Hamburg); direkt übertragbar auf gemäßigte Klimazone und urbane Gesundheitsfragen</w:t>
      </w:r>
    </w:p>
    <w:p>
      <w:r>
        <w:rPr>
          <w:color w:val="5A7D3A"/>
          <w:sz w:val="18"/>
        </w:rPr>
        <w:t>https://pubmed.ncbi.nlm.nih.gov/42778897/</w:t>
      </w:r>
    </w:p>
    <w:p>
      <w:pPr>
        <w:pStyle w:val="Heading2"/>
      </w:pPr>
      <w:r>
        <w:t>KI-Modelle und Klimawandel-Debatten: Systematische Verzerrungen in LLM-Meinungsdynamiken messbar</w:t>
      </w:r>
    </w:p>
    <w:p>
      <w:r>
        <w:rPr>
          <w:i/>
          <w:color w:val="666666"/>
          <w:sz w:val="18"/>
        </w:rPr>
        <w:t>Brockers VC et al.  ·  Nat Commun  ·  22.09.2026  ·  PMID 42773123</w:t>
      </w:r>
    </w:p>
    <w:p>
      <w:r>
        <w:t>Entwicklung eines Bayes-Frameworks zur Messung von Verzerrungen in Meinungsdynamiken von Large Language Models (LLMs) in Multi-Schritt-Dialogen zu 12 Fragen, darunter Klimawandel, mit Quantifizierung von Topic-Bias, Agreement-Bias und Anchoring-Bias.</w:t>
      </w:r>
    </w:p>
    <w:p>
      <w:r>
        <w:rPr>
          <w:b/>
        </w:rPr>
        <w:t xml:space="preserve">Ergebnis: </w:t>
      </w:r>
      <w:r>
        <w:t>Meinungstrajektorien konvergieren schnell zu gemeinsamen Attraktoren; Einfluss von Interaktion und Verzerrungen nimmt zeitlich ab; Verzerrungseffekte unterscheiden sich zwischen LLM-Typen. Fine-Tuning auf stark opinionierte Statements verschiebt Meinungs-Attraktoren entsprechend. Framework offenbart erhebliche Unterschiede zwischen LLMs und quantifiziert Beitrag von Verzerrungen vs. echter Interaktion.</w:t>
      </w:r>
    </w:p>
    <w:p>
      <w:r>
        <w:rPr>
          <w:b/>
          <w:sz w:val="19"/>
        </w:rPr>
        <w:t xml:space="preserve">Übertragbarkeit: </w:t>
      </w:r>
      <w:r>
        <w:rPr>
          <w:sz w:val="19"/>
        </w:rPr>
        <w:t>Deutschland; Methodik zur Messung ideologischer Verzerrungen in KI-generierten Klimadebatten anwendbar</w:t>
      </w:r>
    </w:p>
    <w:p>
      <w:r>
        <w:rPr>
          <w:color w:val="5A7D3A"/>
          <w:sz w:val="18"/>
        </w:rPr>
        <w:t>https://pubmed.ncbi.nlm.nih.gov/42773123/</w:t>
      </w:r>
    </w:p>
    <w:p>
      <w:pPr>
        <w:pStyle w:val="Heading2"/>
      </w:pPr>
      <w:r>
        <w:t>Feinstaubbelastung und Toxizität in Grillrestaurants: Innenraum-PM₁₀ doppelt so hoch wie außen</w:t>
      </w:r>
    </w:p>
    <w:p>
      <w:r>
        <w:rPr>
          <w:i/>
          <w:color w:val="666666"/>
          <w:sz w:val="18"/>
        </w:rPr>
        <w:t>Figueiredo D et al.  ·  Environ Toxicol Pharmacol  ·  22.09.2026  ·  PMID 42772535</w:t>
      </w:r>
    </w:p>
    <w:p>
      <w:r>
        <w:t>Untersuchung der chemischen Zusammensetzung und Toxizität von PM₁₀ in einem portugiesischen Grillrestaurant mit Messungen innen und außen sowie Zellviabilitätstests an Lungenzellen.</w:t>
      </w:r>
    </w:p>
    <w:p>
      <w:r>
        <w:rPr>
          <w:b/>
        </w:rPr>
        <w:t xml:space="preserve">Ergebnis: </w:t>
      </w:r>
      <w:r>
        <w:t>Indoor-PM₁₀-Konzentrationen deutlich höher als outdoor; Kohlehydrate machten bis zu 50% der PM₁₀-Masse aus. Indoorproben zeigten höhere oxidative Spannung (OPDTT), reduzierte Zellviabilität und erhöhte intrazelluläre ROS im Vergleich zu Outdoor-Proben.</w:t>
      </w:r>
    </w:p>
    <w:p>
      <w:r>
        <w:rPr>
          <w:b/>
          <w:sz w:val="19"/>
        </w:rPr>
        <w:t xml:space="preserve">Übertragbarkeit: </w:t>
      </w:r>
      <w:r>
        <w:rPr>
          <w:sz w:val="19"/>
        </w:rPr>
        <w:t>Portugal; Innenraumexposition in mitteleuropäischen Arbeitsumgebungen vergleichbar</w:t>
      </w:r>
    </w:p>
    <w:p>
      <w:r>
        <w:rPr>
          <w:color w:val="5A7D3A"/>
          <w:sz w:val="18"/>
        </w:rPr>
        <w:t>https://pubmed.ncbi.nlm.nih.gov/42772535/</w:t>
      </w:r>
    </w:p>
    <w:p>
      <w:pPr>
        <w:pStyle w:val="Heading1"/>
      </w:pPr>
      <w:r>
        <w:t>Aufgenommen am 12.10.2026</w:t>
      </w:r>
    </w:p>
    <w:p>
      <w:pPr>
        <w:pStyle w:val="Heading2"/>
      </w:pPr>
      <w:r>
        <w:t>Stickoxide und Naturzeit: Effekte auf Entzündungsmarker bei Übergewicht</w:t>
      </w:r>
    </w:p>
    <w:p>
      <w:r>
        <w:rPr>
          <w:i/>
          <w:color w:val="666666"/>
          <w:sz w:val="18"/>
        </w:rPr>
        <w:t>Dzhambov AM et al.  ·  Arh Hig Rada Toksikol  ·  01.09.2026  ·  PMID 42859413</w:t>
      </w:r>
    </w:p>
    <w:p>
      <w:r>
        <w:t>Eine Querschnittsstudie (2023-2024) in Bulgarien untersuchte bei 90 übergewichtigen Erwachsenen mit metabolischem Syndrom Assoziationen zwischen Wohnumgebungs-Expositionen (Luftverschmutzung, Lärm, Grünflächen) und proinflammatorischen Markern sowie adipositäsbezogenen Parametern.</w:t>
      </w:r>
    </w:p>
    <w:p>
      <w:r>
        <w:rPr>
          <w:b/>
        </w:rPr>
        <w:t xml:space="preserve">Ergebnis: </w:t>
      </w:r>
      <w:r>
        <w:t>Jede 10 μg/m³ Zunahme von NO₂ war assoziiert mit höherer TNF-α-Konzentration (+36,27 %; 95 % KI: −5,66 %, 96,83 %), IL-6 (+41,63 %; 95 % KI: 8,16 %, 85,46 %), CRP (+37,80 %; 95 % KI: 5,89 %, 79,32 %) und Leptin (+25,61 %; 95 % KI: −8,73 %, 72,88 %). Pro 2 Stunden pro Woche Zeit in der Natur sank TNF-α (−20,49 %; 95 % KI: −37,56 %, 1,23 %) und Adiponectin stieg (+10,30 %; 95 % KI: 1,36 %, 20,03 %).</w:t>
      </w:r>
    </w:p>
    <w:p>
      <w:r>
        <w:rPr>
          <w:b/>
          <w:sz w:val="19"/>
        </w:rPr>
        <w:t xml:space="preserve">Übertragbarkeit: </w:t>
      </w:r>
      <w:r>
        <w:rPr>
          <w:sz w:val="19"/>
        </w:rPr>
        <w:t>Südeuropa mit vergleichbarer Infrastruktur; Assoziationen und Prinzipien auf mitteleuropäische Bevölkerung übertragbar.</w:t>
      </w:r>
    </w:p>
    <w:p>
      <w:r>
        <w:rPr>
          <w:color w:val="5A7D3A"/>
          <w:sz w:val="18"/>
        </w:rPr>
        <w:t>https://pubmed.ncbi.nlm.nih.gov/42859413/</w:t>
      </w:r>
    </w:p>
    <w:p>
      <w:pPr>
        <w:pStyle w:val="Heading2"/>
      </w:pPr>
      <w:r>
        <w:t>Berufliche Hitzeexposition und DNA-Schäden bei Aluminiumhütten-Arbeitern</w:t>
      </w:r>
    </w:p>
    <w:p>
      <w:r>
        <w:rPr>
          <w:i/>
          <w:color w:val="666666"/>
          <w:sz w:val="18"/>
        </w:rPr>
        <w:t>Khalifa EM et al.  ·  Int Arch Occup Environ Health  ·  10.10.2026  ·  PMID 42859242</w:t>
      </w:r>
    </w:p>
    <w:p>
      <w:r>
        <w:t>Eine Querschnittsstudie untersuchte bei 93 Arbeitern (47 hitzeexponiert, 46 Kontrolle) in einer ägyptischen Aluminiumproduktionfabrik die Zusammenhänge zwischen Hitzeexposition und oxidativen Stress-Biomarkern sowie DNA-Reparaturgenen.</w:t>
      </w:r>
    </w:p>
    <w:p>
      <w:r>
        <w:rPr>
          <w:b/>
        </w:rPr>
        <w:t xml:space="preserve">Ergebnis: </w:t>
      </w:r>
      <w:r>
        <w:t>Hitzeexponierte Arbeiter zeigten signifikant erhöhte Konzentrationen von Malondialdehyd und 8-OHdG (beide p &lt; 0,001), während Superoxiddismutase, Glutathionperoxidase und Gesamtantioxidantienkapazität sanken (p &lt; 0,001). Die Hitzeexposition war mit erhöhtem oxidativem Stress, DNA-Schäden und verminderter Expression von DNA-Reparatur- und Redox-Regulationsgenen verbunden, was auf compromittierte zelluläre Abwehrmechanismen hindeutet.</w:t>
      </w:r>
    </w:p>
    <w:p>
      <w:r>
        <w:rPr>
          <w:b/>
          <w:sz w:val="19"/>
        </w:rPr>
        <w:t xml:space="preserve">Übertragbarkeit: </w:t>
      </w:r>
      <w:r>
        <w:rPr>
          <w:sz w:val="19"/>
        </w:rPr>
        <w:t>Mechanismus ist klimazonenunabhängig; Feldmonitoring mit WBGT übertragbar auch für deutsche Arbeitsplätze.</w:t>
      </w:r>
    </w:p>
    <w:p>
      <w:r>
        <w:rPr>
          <w:color w:val="5A7D3A"/>
          <w:sz w:val="18"/>
        </w:rPr>
        <w:t>https://pubmed.ncbi.nlm.nih.gov/42859242/</w:t>
      </w:r>
    </w:p>
    <w:p>
      <w:pPr>
        <w:pStyle w:val="Heading2"/>
      </w:pPr>
      <w:r>
        <w:t>Radon in Krankenhäusern: Monitoring und Risiko-Stratifizierung</w:t>
      </w:r>
    </w:p>
    <w:p>
      <w:r>
        <w:rPr>
          <w:i/>
          <w:color w:val="666666"/>
          <w:sz w:val="18"/>
        </w:rPr>
        <w:t>Ţenter A et al.  ·  Front Public Health  ·  25.09.2026  ·  PMID 42856963</w:t>
      </w:r>
    </w:p>
    <w:p>
      <w:r>
        <w:t>Eine Großstudie installierte 1700 CR-39-Detektoren in 115 medizinischen Einrichtungen in 40 rumänischen Lokalitäten für dreimonatige Messungen; ausgewertet wurden 1651 valide Messungen zur Schätzung der jährlichen Radon-Aktivitätskonzentration.</w:t>
      </w:r>
    </w:p>
    <w:p>
      <w:r>
        <w:rPr>
          <w:b/>
        </w:rPr>
        <w:t xml:space="preserve">Ergebnis: </w:t>
      </w:r>
      <w:r>
        <w:t>Mittlere Radon-Jahreskonzentration 61 Bq/m³ (Median 40 Bq/m³, geometrisches Mittel 41 Bq/m³). Nur 26 von 1651 Messungen (1,6 %) überschritten den Referenzwert von 300 Bq/m³, alle konzentriert in unteren Stockwerken (25 in Kellern/Erdgeschoss). Höhere Konzentrationen in Radiologie und Zahnkliniken, niedrigere in Krankenhäusern. Gebäude-spezifische Charakteristiken und Stockwerk zeigten signifikante Effekte im Mixed-Effects-Modell.</w:t>
      </w:r>
    </w:p>
    <w:p>
      <w:r>
        <w:rPr>
          <w:b/>
          <w:sz w:val="19"/>
        </w:rPr>
        <w:t xml:space="preserve">Übertragbarkeit: </w:t>
      </w:r>
      <w:r>
        <w:rPr>
          <w:sz w:val="19"/>
        </w:rPr>
        <w:t>Rumänien, Europa; Monitoring-Strategie für Kliniken übertragbar auf deutschsprachige Sanitätseinrichtungen.</w:t>
      </w:r>
    </w:p>
    <w:p>
      <w:r>
        <w:rPr>
          <w:color w:val="5A7D3A"/>
          <w:sz w:val="18"/>
        </w:rPr>
        <w:t>https://pubmed.ncbi.nlm.nih.gov/42856963/</w:t>
      </w:r>
    </w:p>
    <w:p>
      <w:pPr>
        <w:pStyle w:val="Heading2"/>
      </w:pPr>
      <w:r>
        <w:t>Klimawandel und Gesundheit in Ländern mit niedrigem Versorgungsniveau</w:t>
      </w:r>
    </w:p>
    <w:p>
      <w:r>
        <w:rPr>
          <w:i/>
          <w:color w:val="666666"/>
          <w:sz w:val="18"/>
        </w:rPr>
        <w:t>Barcellos C et al.  ·  Cien Saude Colet  ·  05.10.2026  ·  PMID 42848628</w:t>
      </w:r>
    </w:p>
    <w:p>
      <w:r>
        <w:t>Ein Expertenpapier analysiert die klimabedingte Belastung für Gesundheitssysteme in peripheren Ländern und vulnerablen Bevölkerungen, besonders im Kontext von Hitzeströmen, Umweltdegradation und mangelhaften Gesundheitsdiensten.</w:t>
      </w:r>
    </w:p>
    <w:p>
      <w:r>
        <w:rPr>
          <w:b/>
        </w:rPr>
        <w:t xml:space="preserve">Ergebnis: </w:t>
      </w:r>
      <w:r>
        <w:t>Zentrale Kernaussage: Klimawandel verursacht geographisch unterschiedliche Gesundheitsfolgen. Periphere Länder und vulnerable Territorien in ihnen erleben Bedingungen aggravierende niedrige Versorgungsqualität und -dichte; dies verstärkt Krankheitsübertragung und nicht-übertragbare Erkrankungen, führt zu Klimaungerechtigkeit. Public Health in peripheren Ländern muss an sozialen und umweltbezogenen Determinanten ansetzen, mit kritischer Haltung zu Adaptationsvorschlägen, die Ungleichheiten reduzieren müssen.</w:t>
      </w:r>
    </w:p>
    <w:p>
      <w:r>
        <w:rPr>
          <w:b/>
          <w:sz w:val="19"/>
        </w:rPr>
        <w:t xml:space="preserve">Übertragbarkeit: </w:t>
      </w:r>
      <w:r>
        <w:rPr>
          <w:sz w:val="19"/>
        </w:rPr>
        <w:t>Lateinamerika, begrenzte Ressourcen; Prinzipien von Klima-Gerechtigkeit und Prioritätenreihung auch für Übergangsphasen in Deutschland relevant.</w:t>
      </w:r>
    </w:p>
    <w:p>
      <w:r>
        <w:rPr>
          <w:color w:val="5A7D3A"/>
          <w:sz w:val="18"/>
        </w:rPr>
        <w:t>https://pubmed.ncbi.nlm.nih.gov/42848628/</w:t>
      </w:r>
    </w:p>
    <w:p>
      <w:pPr>
        <w:pStyle w:val="Heading2"/>
      </w:pPr>
      <w:r>
        <w:t>Klassenzimmer-Luftqualität und Atemwegserkrankungen bei Schülern in Nigeria</w:t>
      </w:r>
    </w:p>
    <w:p>
      <w:r>
        <w:rPr>
          <w:i/>
          <w:color w:val="666666"/>
          <w:sz w:val="18"/>
        </w:rPr>
        <w:t>Eghomwanre AF et al.  ·  Environ Sci Pollut Res Int  ·  28.09.2026  ·  PMID 42804077</w:t>
      </w:r>
    </w:p>
    <w:p>
      <w:r>
        <w:t>Eine Querschnittsstudie in sechs Schulen Nigerias (10 Wochen) maß Luftqualitätsparameter (PM₂,₅, PM₁₀, CO, CO₂) und thermische Behaglichkeit und erfasste respiratorische Symptome mittels Fragebogen und multivariate Regressionsanalyse.</w:t>
      </w:r>
    </w:p>
    <w:p>
      <w:r>
        <w:rPr>
          <w:b/>
        </w:rPr>
        <w:t xml:space="preserve">Ergebnis: </w:t>
      </w:r>
      <w:r>
        <w:t>PM₂,₅ schwankte von 11,2–81,4 μg/m³, PM₁₀ von 20,1–138,6 μg/m³. Alle Hazard-Quotient-Werte (HQ) für PM₂,₅ und PM₁₀ lagen unter 1, deuteten also auf kein chronisches Risiko hin. Jedoch zeigte sich hohe Prävalenz akuter Symptome: Husten (58,2 %), Auswurf (32,5 %), Brustschmerz (26,7 %). Erhöhte PM-Exposition war stark mit Husten assoziiert (p &lt; 0,001) und erhöhte die Chancen für Brustschmerz (bereinigtes OR = 2,74; 95 % KI: 1,35–22,80; p = 0,018).</w:t>
      </w:r>
    </w:p>
    <w:p>
      <w:r>
        <w:rPr>
          <w:b/>
          <w:sz w:val="19"/>
        </w:rPr>
        <w:t xml:space="preserve">Übertragbarkeit: </w:t>
      </w:r>
      <w:r>
        <w:rPr>
          <w:sz w:val="19"/>
        </w:rPr>
        <w:t>Tropische Zone mit anderen Anpassungsniveaus; Methodik und Symptom-Mechanismus prinzipiell übertragbar.</w:t>
      </w:r>
    </w:p>
    <w:p>
      <w:r>
        <w:rPr>
          <w:color w:val="5A7D3A"/>
          <w:sz w:val="18"/>
        </w:rPr>
        <w:t>https://pubmed.ncbi.nlm.nih.gov/42804077/</w:t>
      </w:r>
    </w:p>
    <w:p>
      <w:pPr>
        <w:pStyle w:val="Heading2"/>
      </w:pPr>
      <w:r>
        <w:t>PAH-Belastung in Schulen und Wohnungen europäischer Großstädte</w:t>
      </w:r>
    </w:p>
    <w:p>
      <w:r>
        <w:rPr>
          <w:i/>
          <w:color w:val="666666"/>
          <w:sz w:val="18"/>
        </w:rPr>
        <w:t>Aretaki MA et al.  ·  Environ Res  ·  01.11.2026  ·  PMID 42705444</w:t>
      </w:r>
    </w:p>
    <w:p>
      <w:r>
        <w:t>Eine europäische Multizenterstudie bestimmte PAH-Konzentrationen in der Innenraumluft von Schulen, Wohnungen und Sporthallen in sechs Städten (Athen, Barcelona, Colchester, Kopenhagen, Helsinki, Lissabon) und schätzte das Krebsrisiko für Kinder.</w:t>
      </w:r>
    </w:p>
    <w:p>
      <w:r>
        <w:rPr>
          <w:b/>
        </w:rPr>
        <w:t xml:space="preserve">Ergebnis: </w:t>
      </w:r>
      <w:r>
        <w:t>Höchste Median-PAH-Konzentrationen (&gt;50.000 pg/m³) in Schulen und Wohnungen waren mit intensiver lokaler Holzverbrennung verknüpft. Das geschätzte Überschusskrebs-Risiko für eine fünfjährige Primärschul-Expositionsperiode (ECR5) lag über alle Standorte zwischen 10⁻⁸ und 10⁻⁵ und blieb unter dem Schwellwert von 10⁻⁴. Hochmolekulare PAHs waren in Schulen höher als in Wohnungen, niedermolekulare dagegen in Wohnungen dominanter.</w:t>
      </w:r>
    </w:p>
    <w:p>
      <w:r>
        <w:rPr>
          <w:b/>
          <w:sz w:val="19"/>
        </w:rPr>
        <w:t xml:space="preserve">Übertragbarkeit: </w:t>
      </w:r>
      <w:r>
        <w:rPr>
          <w:sz w:val="19"/>
        </w:rPr>
        <w:t>Europäische Daten, gemäßigte Klimazone, mehrere Länder mit unterschiedlicher Heizpraxis.</w:t>
      </w:r>
    </w:p>
    <w:p>
      <w:r>
        <w:rPr>
          <w:color w:val="5A7D3A"/>
          <w:sz w:val="18"/>
        </w:rPr>
        <w:t>https://pubmed.ncbi.nlm.nih.gov/42705444/</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