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13.10.2026  |  6 Studien  |  klima.m-vf.de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Fleischalternativen: Verbraucher akzeptieren Fleisch-Nomenklatur, aber wünschen transparentere Kennzeichnung</w:t>
      </w:r>
    </w:p>
    <w:p>
      <w:r>
        <w:rPr>
          <w:i/>
          <w:color w:val="666666"/>
          <w:sz w:val="18"/>
        </w:rPr>
        <w:t>Ketelings L et al.  ·  Front Public Health  ·  22.09.2026  ·  PMID 42840042</w:t>
      </w:r>
    </w:p>
    <w:p>
      <w:r>
        <w:t>Fokusgruppenstudie mit niederländischen Verbrauchern unterschiedlicher Fleischkonsumgewohnheiten zu Wahrnehmung und Erwartungen bei Kennzeichnung von Fleischalternativen im Kontext Nachhaltigkeit und Klimaschutz.</w:t>
      </w:r>
    </w:p>
    <w:p>
      <w:r>
        <w:rPr>
          <w:b/>
        </w:rPr>
        <w:t xml:space="preserve">Ergebnis: </w:t>
      </w:r>
      <w:r>
        <w:t>Kernfunde: Produktbezeichnung, Positionierung und Glaubwürdigkeitsattribute prägen Kundenerwartungen. Verbraucher berichten keine unbeabsichtigten Käufe, äußern aber Bedenken vor Irreführung; fleischähnliche Nomenklatur hilft bei Vertrautheit und Produktverständnis. Forderung nach standardisierten, transparenten Kennzeichnungspraktiken zur Verbraucherschutz und Unterstützung nachhaltiger 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Niederlande; direkt auf deutschsprachigen Raum übertragbar, vergleichbare Verbrauchererwartungen</w:t>
      </w:r>
    </w:p>
    <w:p>
      <w:r>
        <w:rPr>
          <w:color w:val="5A7D3A"/>
          <w:sz w:val="18"/>
        </w:rPr>
        <w:t>https://pubmed.ncbi.nlm.nih.gov/42840042/</w:t>
      </w:r>
    </w:p>
    <w:p>
      <w:pPr>
        <w:pStyle w:val="Heading2"/>
      </w:pPr>
      <w:r>
        <w:t>Klimawandel und Fasciola-Übertragung: Risiken in Nordeuropa steigen, in Westafrika sinken</w:t>
      </w:r>
    </w:p>
    <w:p>
      <w:r>
        <w:rPr>
          <w:i/>
          <w:color w:val="666666"/>
          <w:sz w:val="18"/>
        </w:rPr>
        <w:t>van der Deure T et al.  ·  PLoS Negl Trop Dis  ·  05.10.2026  ·  PMID 42832590</w:t>
      </w:r>
    </w:p>
    <w:p>
      <w:r>
        <w:t>Entwicklung eines Risikoindex zur Prognose von Leberegelinfektionen (F. hepatica und F. gigantica) unter Klimawandel in Afrika und Europa basierend auf Temperaturabhängigkeit der Parasitenentwicklung, Schneckenverbreitung und Gewässerverfügbarkeit.</w:t>
      </w:r>
    </w:p>
    <w:p>
      <w:r>
        <w:rPr>
          <w:b/>
        </w:rPr>
        <w:t xml:space="preserve">Ergebnis: </w:t>
      </w:r>
      <w:r>
        <w:t>F. gigantica-Risiko sinkt in Sahel und Westafrika; F. hepatica-Risiko nimmt in Nordeuropa, Skandinavien und Island zu, wo Viehdichten hoch sind. Hybridisierungsrisiko beider Arten geht zurück aufgrund reduzierter geografischer Überlappung.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 betroffen; Methodik und Risikoabschätzung übertragbar auf gemäßigte Zonen</w:t>
      </w:r>
    </w:p>
    <w:p>
      <w:r>
        <w:rPr>
          <w:color w:val="5A7D3A"/>
          <w:sz w:val="18"/>
        </w:rPr>
        <w:t>https://pubmed.ncbi.nlm.nih.gov/42832590/</w:t>
      </w:r>
    </w:p>
    <w:p>
      <w:pPr>
        <w:pStyle w:val="Heading2"/>
      </w:pPr>
      <w:r>
        <w:t>Klimawandel verschärft Flugverkehr-Vereisungsrisiken: Eismeldungen in China um 500 m/Jahr angestiegen</w:t>
      </w:r>
    </w:p>
    <w:p>
      <w:r>
        <w:rPr>
          <w:i/>
          <w:color w:val="666666"/>
          <w:sz w:val="18"/>
        </w:rPr>
        <w:t>Zhang W et al.  ·  J Environ Sci (China)  ·  01.02.2026  ·  PMID 42822913</w:t>
      </w:r>
    </w:p>
    <w:p>
      <w:r>
        <w:t>Analyse von 13 Jahren (2011–2023) Piloten-Vereisungsmeldungen (PIREPs) in China zur Erfassung von Häufigkeit, räumlichen Mustern, Vertikalverteilung und zeitlichen Trends sowie deren Zusammenhang mit Klimawandel, Topografie, Wirtschaftsaktivität und Aerosol-Emissionen.</w:t>
      </w:r>
    </w:p>
    <w:p>
      <w:r>
        <w:rPr>
          <w:b/>
        </w:rPr>
        <w:t xml:space="preserve">Ergebnis: </w:t>
      </w:r>
      <w:r>
        <w:t>Deutlicher räumlicher Gradient (Südwesten höchste Häufigkeit); Vertikalstratifikation mit Spitzenwert 2–8 km Höhe; winterliche Dominanz (7,3-fach höher als Sommer); auffällige Aufwärtsverschiebung der primären Vereisungsschicht um ~500 m/Jahr ab 2018, korrelierend mit steigenden Gefriergrenzenhöhen unter globaler Erwärmung.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Methodik auf gemäßigte Zonen übertragbar, regionale Temperaturtrends sind klimaabhängig</w:t>
      </w:r>
    </w:p>
    <w:p>
      <w:r>
        <w:rPr>
          <w:color w:val="5A7D3A"/>
          <w:sz w:val="18"/>
        </w:rPr>
        <w:t>https://pubmed.ncbi.nlm.nih.gov/42822913/</w:t>
      </w:r>
    </w:p>
    <w:p>
      <w:pPr>
        <w:pStyle w:val="Heading2"/>
      </w:pPr>
      <w:r>
        <w:t>Umweltbelastung und Gehirn: Tägliche Schwankungen in Luftqualität und Lärm beeinflussen Hirnstruktur</w:t>
      </w:r>
    </w:p>
    <w:p>
      <w:r>
        <w:rPr>
          <w:i/>
          <w:color w:val="666666"/>
          <w:sz w:val="18"/>
        </w:rPr>
        <w:t>Falkenstein K et al.  ·  BMC Neurosci  ·  23.09.2026  ·  PMID 42778897</w:t>
      </w:r>
    </w:p>
    <w:p>
      <w:r>
        <w:t>Studienprotokoll für Langzeitstudie mit 30 Teilnehmern über 25 Messsitzungen zur Erfassung tagesdurchschnittlicher Umweltvariationen (Luftqualität, Lärm, Lichteexposition, physische Aktivität) und deren Auswirkungen auf Hirnstruktur, -funktion und Wohlbefinden mittels Neuroimaging und tragbarer Sensoren.</w:t>
      </w:r>
    </w:p>
    <w:p>
      <w:r>
        <w:rPr>
          <w:b/>
        </w:rPr>
        <w:t xml:space="preserve">Ergebnis: </w:t>
      </w:r>
      <w:r>
        <w:t>Studiendesign zur Erfassung von Zusammenhängen zwischen alltäglicher Umweltexposition und kurzfristiger Neuroplastizität etabliert; Dataset umfasst multimodale Neuroimaging-Messungen (T1/T2*-gewichtet, Diffusions-Tensor-Imaging) sowie kontinuierliche Umwelt- und physiologische Tracking-Daten.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(Berlin/Hamburg); direkt übertragbar auf gemäßigte Klimazone und urbane Gesundheitsfragen</w:t>
      </w:r>
    </w:p>
    <w:p>
      <w:r>
        <w:rPr>
          <w:color w:val="5A7D3A"/>
          <w:sz w:val="18"/>
        </w:rPr>
        <w:t>https://pubmed.ncbi.nlm.nih.gov/42778897/</w:t>
      </w:r>
    </w:p>
    <w:p>
      <w:pPr>
        <w:pStyle w:val="Heading2"/>
      </w:pPr>
      <w:r>
        <w:t>KI-Modelle und Klimawandel-Debatten: Systematische Verzerrungen in LLM-Meinungsdynamiken messbar</w:t>
      </w:r>
    </w:p>
    <w:p>
      <w:r>
        <w:rPr>
          <w:i/>
          <w:color w:val="666666"/>
          <w:sz w:val="18"/>
        </w:rPr>
        <w:t>Brockers VC et al.  ·  Nat Commun  ·  22.09.2026  ·  PMID 42773123</w:t>
      </w:r>
    </w:p>
    <w:p>
      <w:r>
        <w:t>Entwicklung eines Bayes-Frameworks zur Messung von Verzerrungen in Meinungsdynamiken von Large Language Models (LLMs) in Multi-Schritt-Dialogen zu 12 Fragen, darunter Klimawandel, mit Quantifizierung von Topic-Bias, Agreement-Bias und Anchoring-Bias.</w:t>
      </w:r>
    </w:p>
    <w:p>
      <w:r>
        <w:rPr>
          <w:b/>
        </w:rPr>
        <w:t xml:space="preserve">Ergebnis: </w:t>
      </w:r>
      <w:r>
        <w:t>Meinungstrajektorien konvergieren schnell zu gemeinsamen Attraktoren; Einfluss von Interaktion und Verzerrungen nimmt zeitlich ab; Verzerrungseffekte unterscheiden sich zwischen LLM-Typen. Fine-Tuning auf stark opinionierte Statements verschiebt Meinungs-Attraktoren entsprechend. Framework offenbart erhebliche Unterschiede zwischen LLMs und quantifiziert Beitrag von Verzerrungen vs. echter 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Deutschland; Methodik zur Messung ideologischer Verzerrungen in KI-generierten Klimadebatten anwendbar</w:t>
      </w:r>
    </w:p>
    <w:p>
      <w:r>
        <w:rPr>
          <w:color w:val="5A7D3A"/>
          <w:sz w:val="18"/>
        </w:rPr>
        <w:t>https://pubmed.ncbi.nlm.nih.gov/42773123/</w:t>
      </w:r>
    </w:p>
    <w:p>
      <w:pPr>
        <w:pStyle w:val="Heading2"/>
      </w:pPr>
      <w:r>
        <w:t>Feinstaubbelastung und Toxizität in Grillrestaurants: Innenraum-PM₁₀ doppelt so hoch wie außen</w:t>
      </w:r>
    </w:p>
    <w:p>
      <w:r>
        <w:rPr>
          <w:i/>
          <w:color w:val="666666"/>
          <w:sz w:val="18"/>
        </w:rPr>
        <w:t>Figueiredo D et al.  ·  Environ Toxicol Pharmacol  ·  22.09.2026  ·  PMID 42772535</w:t>
      </w:r>
    </w:p>
    <w:p>
      <w:r>
        <w:t>Untersuchung der chemischen Zusammensetzung und Toxizität von PM₁₀ in einem portugiesischen Grillrestaurant mit Messungen innen und außen sowie Zellviabilitätstests an Lungenzellen.</w:t>
      </w:r>
    </w:p>
    <w:p>
      <w:r>
        <w:rPr>
          <w:b/>
        </w:rPr>
        <w:t xml:space="preserve">Ergebnis: </w:t>
      </w:r>
      <w:r>
        <w:t>Indoor-PM₁₀-Konzentrationen deutlich höher als outdoor; Kohlehydrate machten bis zu 50% der PM₁₀-Masse aus. Indoorproben zeigten höhere oxidative Spannung (OPDTT), reduzierte Zellviabilität und erhöhte intrazelluläre ROS im Vergleich zu Outdoor-Proben.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Portugal; Innenraumexposition in mitteleuropäischen Arbeitsumgebungen vergleichbar</w:t>
      </w:r>
    </w:p>
    <w:p>
      <w:r>
        <w:rPr>
          <w:color w:val="5A7D3A"/>
          <w:sz w:val="18"/>
        </w:rPr>
        <w:t>https://pubmed.ncbi.nlm.nih.gov/42772535/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