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05.10.2026  |  6 Studien  |  klima.m-vf.de</w:t>
      </w:r>
    </w:p>
    <w:p>
      <w:pPr>
        <w:pStyle w:val="Heading1"/>
      </w:pPr>
      <w:r>
        <w:t>Aufgenommen am 05.10.2026</w:t>
      </w:r>
    </w:p>
    <w:p>
      <w:pPr>
        <w:pStyle w:val="Heading2"/>
      </w:pPr>
      <w:r>
        <w:t>Luftverschmutzung und Mikrobiom: Ökologische Assoziationen mit Stoffwechselmarkern</w:t>
      </w:r>
    </w:p>
    <w:p>
      <w:r>
        <w:rPr>
          <w:i/>
          <w:color w:val="666666"/>
          <w:sz w:val="18"/>
        </w:rPr>
        <w:t>Kriti M et al.  ·  Front Public Health  ·  14.09.2026  ·  PMID 42807430</w:t>
      </w:r>
    </w:p>
    <w:p>
      <w:r>
        <w:t>Querschnittsstudie zu räumlichen Zusammenhängen zwischen Luftschadstoffen (NOx, PM2.5, PM10), Darm-Mikrobiom und Typ-2-Diabetes-Markern in drei urbanen Regionen Indiens.</w:t>
      </w:r>
    </w:p>
    <w:p>
      <w:r>
        <w:rPr>
          <w:b/>
        </w:rPr>
        <w:t xml:space="preserve">Ergebnis: </w:t>
      </w:r>
      <w:r>
        <w:t>NOx korrelierte positiv mit Glykämie-Indizes (r positiv). PM2.5 und PM10 zeigten inkonsistente Assoziationen mit Stoffwechselmarkern. Mikrobiom-Unterschiede zwischen Standorten waren meist nicht statistisch signifikant nach Korrektur für multiples Testen. Die Ergebnisse sind deskriptiv und hypothesengenerierend,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 übertragbar: Ecological Study mit Standort-Level statt Individual-Exposition; tropisches Klima.</w:t>
      </w:r>
    </w:p>
    <w:p>
      <w:r>
        <w:rPr>
          <w:color w:val="5A7D3A"/>
          <w:sz w:val="18"/>
        </w:rPr>
        <w:t>https://pubmed.ncbi.nlm.nih.gov/42807430/</w:t>
      </w:r>
    </w:p>
    <w:p>
      <w:pPr>
        <w:pStyle w:val="Heading2"/>
      </w:pPr>
      <w:r>
        <w:t>Wohnungslüftung und Luftreinigung für Asthmakontolle: AIRVAC-Studienprotokoll</w:t>
      </w:r>
    </w:p>
    <w:p>
      <w:r>
        <w:rPr>
          <w:i/>
          <w:color w:val="666666"/>
          <w:sz w:val="18"/>
        </w:rPr>
        <w:t>Kang I et al.  ·  PLoS One  ·  25.09.2026  ·  PMID 42789537</w:t>
      </w:r>
    </w:p>
    <w:p>
      <w:r>
        <w:t>Randomisierte kontrollierte Studie (RCT) mit vier Armen (Wärmerückgewinnungslüfter aktiv/sham, tragbare Luftreiniger aktiv/sham) zur Wirkung auf Innenraumluftqualität, Schimmelpilze und Asthmaergebnisse bei Kindern und Erwachsenen in der Region Dallas-Fort Worth.</w:t>
      </w:r>
    </w:p>
    <w:p>
      <w:r>
        <w:rPr>
          <w:b/>
        </w:rPr>
        <w:t xml:space="preserve">Ergebnis: </w:t>
      </w:r>
      <w:r>
        <w:t>Studienprotokoll (noch nicht abgeschlossen). Geplante Primäroutcomes: Asthmakontrolle; Sekundär: Lungenfunktion, Lebensqualität, Stress, Schlaf. Umwelterfassungen: PM, NO₂, CO, VOCs, Temperatur, Feuchte, Schimmelpilze mit Low-Cost- und Research-Grade-Sensoren in &gt;80 Haushalten, 1-jährige Vor- und 1-jährige Nachintervention.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(Texas), aber Indoor-Luftqualität- und Asthma-Methodik übertragbar; Ergebnisse ausstehend.</w:t>
      </w:r>
    </w:p>
    <w:p>
      <w:r>
        <w:rPr>
          <w:color w:val="5A7D3A"/>
          <w:sz w:val="18"/>
        </w:rPr>
        <w:t>https://pubmed.ncbi.nlm.nih.gov/42789537/</w:t>
      </w:r>
    </w:p>
    <w:p>
      <w:pPr>
        <w:pStyle w:val="Heading2"/>
      </w:pPr>
      <w:r>
        <w:t>Klimawandel und Onkologie-Pflegeleistungen: Rolle der Nurse Navigator</w:t>
      </w:r>
    </w:p>
    <w:p>
      <w:r>
        <w:rPr>
          <w:i/>
          <w:color w:val="666666"/>
          <w:sz w:val="18"/>
        </w:rPr>
        <w:t>Lai WT et al.  ·  Hu Li Za Zhi  ·  Okt. 2026  ·  PMID 42772917</w:t>
      </w:r>
    </w:p>
    <w:p>
      <w:r>
        <w:t>Qualitative Analyse der Auswirkungen von Klimawandel auf Krebsrisiken und Kontinuität der Krebsbehandlung; Transformation der Rolle von Oncology Nurse Navigators für klimaadaptive Versorgung.</w:t>
      </w:r>
    </w:p>
    <w:p>
      <w:r>
        <w:rPr>
          <w:b/>
        </w:rPr>
        <w:t xml:space="preserve">Ergebnis: </w:t>
      </w:r>
      <w:r>
        <w:t>Kernaussagen: Klimawandel formt Verteilung von Krebsrisiken und erhöht Vulnerabilität von Behandlungssicherheit durch multiple Umweltpfade. Extreme Wetterereignisse verursachen akute Behandlungsunterbrechungen; chronische Instabilität führt zu Verzögerungen, interregionalen Überweisungen und psychischer Belastung. Nurse Navigators benötigen Vulnerabilitätsbewertung, klimasensible klinische Urteile, Telehealth-Kompetenz und Cross-Sector-Governance. Empfehlung: messbare Kompetenzmodule in Ausbildung integrieren.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aber Struktur und Vulnerabilität-Assessment übertragbar auf deutsches Gesundheitswesen; Klimazonen-Unterschiede gering.</w:t>
      </w:r>
    </w:p>
    <w:p>
      <w:r>
        <w:rPr>
          <w:color w:val="5A7D3A"/>
          <w:sz w:val="18"/>
        </w:rPr>
        <w:t>https://pubmed.ncbi.nlm.nih.gov/42772917/</w:t>
      </w:r>
    </w:p>
    <w:p>
      <w:pPr>
        <w:pStyle w:val="Heading2"/>
      </w:pPr>
      <w:r>
        <w:t>Luftverschmutzung und chronische Atemwegserkrankungen: Epidemiologische Übersicht</w:t>
      </w:r>
    </w:p>
    <w:p>
      <w:r>
        <w:rPr>
          <w:i/>
          <w:color w:val="666666"/>
          <w:sz w:val="18"/>
        </w:rPr>
        <w:t>Jo YS et al.  ·  Korean J Intern Med  ·  01.09.2026  ·  PMID 42754519</w:t>
      </w:r>
    </w:p>
    <w:p>
      <w:r>
        <w:t>Narrative Übersichtsarbeit zu epidemiologischen Belegen für Assoziationen zwischen Outdoor- und Indoor-Luftschadstoffen und Inzidenz, Progression, Mortalität von Asthma, COPD, Lungenfibrose und Lungenkrebs.</w:t>
      </w:r>
    </w:p>
    <w:p>
      <w:r>
        <w:rPr>
          <w:b/>
        </w:rPr>
        <w:t xml:space="preserve">Ergebnis: </w:t>
      </w:r>
      <w:r>
        <w:t>Luftschadstoffe (Feinstaub, Ozon, NO₂, SO₂) sind etablierte Risikofaktoren für Entwicklung, Exazerbation und Mortalität chronischer Atemwegserkrankungen. Nicht-pharmakologische Interventionen zur Expositionsreduktion auf Individual- und gesellschaftlicher Ebene diskutiert. Konkrete Effektgrößen im Text nicht systematisch quantifiziert; Kernaussage: integrierte Anstrengungen zur Verbesserung der Luftqualität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gemäßigte Klimazone; Mechanismen und Risikogruppen für Deutschland relevant; absolute Schwellenwerte nicht direkt übertragbar.</w:t>
      </w:r>
    </w:p>
    <w:p>
      <w:r>
        <w:rPr>
          <w:color w:val="5A7D3A"/>
          <w:sz w:val="18"/>
        </w:rPr>
        <w:t>https://pubmed.ncbi.nlm.nih.gov/42754519/</w:t>
      </w:r>
    </w:p>
    <w:p>
      <w:pPr>
        <w:pStyle w:val="Heading2"/>
      </w:pPr>
      <w:r>
        <w:t>Luftqualitätsgewinne und Sterblichkeit durch Clean-Heating in Nordchina</w:t>
      </w:r>
    </w:p>
    <w:p>
      <w:r>
        <w:rPr>
          <w:i/>
          <w:color w:val="666666"/>
          <w:sz w:val="18"/>
        </w:rPr>
        <w:t>Bao JL et al.  ·  J Environ Manage  ·  15.09.2026  ·  PMID 42748737</w:t>
      </w:r>
    </w:p>
    <w:p>
      <w:r>
        <w:t>Evaluation von 88 Clean-Heating-Pilotprogrammen in Nordchina (2013–2023) mit Synthetic-Control-Methode, Wetter-Normalisierung und attributablen Todesfällen.</w:t>
      </w:r>
    </w:p>
    <w:p>
      <w:r>
        <w:rPr>
          <w:b/>
        </w:rPr>
        <w:t xml:space="preserve">Ergebnis: </w:t>
      </w:r>
      <w:r>
        <w:t>PM2.5-Reduktion im Heizsaison-Mittel: -3,01 μg/m³; P95: -5,76 μg/m³; P99: -5,96 μg/m³; -7,92 Überschreitungstage pro Saison. Geschätzte Vermeidung von 12.454 PM2.5-attributierten Todesfällen (95%-KI 8.564–16.222) an Verbesserungstagen. 88,9 % der Gewinne in Kohorten 2017/2018; 56,2 % in den Top-10 der Städte konzentriert.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China-spezifische Heizmethoden und Basislastniveaus; Methodik der Verteilungsanalyse für Deutschland nutzbar.</w:t>
      </w:r>
    </w:p>
    <w:p>
      <w:r>
        <w:rPr>
          <w:color w:val="5A7D3A"/>
          <w:sz w:val="18"/>
        </w:rPr>
        <w:t>https://pubmed.ncbi.nlm.nih.gov/42748737/</w:t>
      </w:r>
    </w:p>
    <w:p>
      <w:pPr>
        <w:pStyle w:val="Heading2"/>
      </w:pPr>
      <w:r>
        <w:t>Duftstoffe in Raumsprays: Konzentrationen, Mischungsmuster und Inhalationsrisiken</w:t>
      </w:r>
    </w:p>
    <w:p>
      <w:r>
        <w:rPr>
          <w:i/>
          <w:color w:val="666666"/>
          <w:sz w:val="18"/>
        </w:rPr>
        <w:t>Lee HS et al.  ·  Environ Int  ·  22.08.2026  ·  PMID 42641348</w:t>
      </w:r>
    </w:p>
    <w:p>
      <w:r>
        <w:t>Vergleichende Analyse von 58 Duftstoffen in 50 südkoreanischen und 41 europäischen Raumsprays mittels Gaschromatographie-Massenspektrometrie und Risikobewertung.</w:t>
      </w:r>
    </w:p>
    <w:p>
      <w:r>
        <w:rPr>
          <w:b/>
        </w:rPr>
        <w:t xml:space="preserve">Ergebnis: </w:t>
      </w:r>
      <w:r>
        <w:t>Linalool dominant (32 % Südkorea, 27 % Europa). Vier Stoffe (Campher, Linalylacetat, α-Hexylcinnamaldehyd, Lilial) überschritten Sicherheitsschwelle in Tier-1-Assessment (HQ &gt; 1), aber nicht in realistischen Tier-2-Szenarien (HQ &lt; 1). Regionale Unterschiede in Duftkombinationen (r Häufigkeiten = 0,87; Konzentrationen r = 0,59).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Niederlande: europäische Formulierungen direkt übertragbar; Inhalationsexposition vergleichbar.</w:t>
      </w:r>
    </w:p>
    <w:p>
      <w:r>
        <w:rPr>
          <w:color w:val="5A7D3A"/>
          <w:sz w:val="18"/>
        </w:rPr>
        <w:t>https://pubmed.ncbi.nlm.nih.gov/42641348/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2026-10-05T06:00:00Z</dcterms:created>
  <dcterms:modified xsi:type="dcterms:W3CDTF">2026-10-05T06:00:00Z</dcterms:modified>
  <cp:category/>
</cp:coreProperties>
</file>