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23.08.2026  |  2 Studien  |  klima.m-vf.de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Umweltverträglicher und klimaresilienter Gesundheitsbetrieb – Roadmap für Italien</w:t>
      </w:r>
    </w:p>
    <w:p>
      <w:r>
        <w:rPr>
          <w:i/>
          <w:color w:val="666666"/>
          <w:sz w:val="18"/>
        </w:rPr>
        <w:t>Punzo O et al.  ·  Front Public Health  ·  07.08.2026  ·  PMID 42630885</w:t>
      </w:r>
    </w:p>
    <w:p>
      <w:r>
        <w:t>Partizipativ entwickelter nationaler Strategiemapplan für Nachhaltigkeit und Klimaresilienz des italienischen Gesundheitssystems mit Governance-, Finanzierungs- und Evaluationsempfehlungen.</w:t>
      </w:r>
    </w:p>
    <w:p>
      <w:r>
        <w:rPr>
          <w:b/>
        </w:rPr>
        <w:t xml:space="preserve">Ergebnis: </w:t>
      </w:r>
      <w:r>
        <w:t>Identifiziert vier strategische Ziele: Emissionsziele setzen, Nachhaltigkeit in Gesundheitssystem-Planung integrieren, Tools zur Messung von Umweltauswirkungen und Klimarisiken, health-environmental-benefit-Maßnahmen. Prioritätsaktionen umfassen Energieeffizienz, Abfallreduktion, Supply-Chain-Nachhaltigkeit, Personal­schulung und Accountability-Systeme. Lücken in aktueller Politik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Europa – deutschsprachiger Raum strukturell vergleichbar, Governance­modelle hochgradig übertragbar</w:t>
      </w:r>
    </w:p>
    <w:p>
      <w:r>
        <w:rPr>
          <w:color w:val="5A7D3A"/>
          <w:sz w:val="18"/>
        </w:rPr>
        <w:t>https://pubmed.ncbi.nlm.nih.gov/42630885/</w:t>
      </w:r>
    </w:p>
    <w:p>
      <w:pPr>
        <w:pStyle w:val="Heading2"/>
      </w:pPr>
      <w:r>
        <w:t>Weniger Luftverschmutzung durch Klimapolitik verbessert die kognitiven Leistungen bei New Yorker Kindern</w:t>
      </w:r>
    </w:p>
    <w:p>
      <w:r>
        <w:rPr>
          <w:i/>
          <w:color w:val="666666"/>
          <w:sz w:val="18"/>
        </w:rPr>
        <w:t>Perera F et al.  ·  Environ Health  ·  15.08.2026  ·  PMID 42608705</w:t>
      </w:r>
    </w:p>
    <w:p>
      <w:r>
        <w:t>Abwärtstrend bei Luftschadstoffbelastungen in aufeinanderfolgenden Geburtskohor­ten (1998–2020) wurde mit Verbesserungen der kognitiven Entwicklung assoziiert.</w:t>
      </w:r>
    </w:p>
    <w:p>
      <w:r>
        <w:rPr>
          <w:b/>
        </w:rPr>
        <w:t xml:space="preserve">Ergebnis: </w:t>
      </w:r>
      <w:r>
        <w:t>Pränatale PM2,5-, NO₂- und PAH-Expositionen nahmen deutlich ab; Mental Development Index-Scores stiegen signifikant an (N=1109). In der größten Kohorte (N&gt;700, 1998–2006) war inverse Assoziation zwischen pränataler Exposition und 3-Jahres-kognitiven Scores statistisch signifikant für PM2,5, NO₂ und PAH; in der späteren Kohorte (2008–2016) mit niedrigerer Exposition waren Assoziationen schwächer.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NYC, USA - gemäßigte Klimazone, Luftqualitätspolitik nicht direkt auf Deutschland übertragbar</w:t>
      </w:r>
    </w:p>
    <w:p>
      <w:r>
        <w:rPr>
          <w:color w:val="5A7D3A"/>
          <w:sz w:val="18"/>
        </w:rPr>
        <w:t>https://pubmed.ncbi.nlm.nih.gov/42608705/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