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01.10.2026  |  6 Studien  |  klima.m-vf.de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Langzeitfolgen von Klimawandel auf Gesundheit: globale systematische Übersichtsstudie quantitativer Forschung</w:t>
      </w:r>
    </w:p>
    <w:p>
      <w:r>
        <w:rPr>
          <w:i/>
          <w:color w:val="666666"/>
          <w:sz w:val="18"/>
        </w:rPr>
        <w:t>Limaheluw J et al.  ·  BMJ Open  ·  30.09.2026  ·  PMID 42816076</w:t>
      </w:r>
    </w:p>
    <w:p>
      <w:r>
        <w:t>Scoping Review von 1.223 quantitativen Publikationen (2000–Mai 2024) zu Langzeiteffekten des Klimawandels auf menschliche Gesundheit.</w:t>
      </w:r>
    </w:p>
    <w:p>
      <w:r>
        <w:rPr>
          <w:b/>
        </w:rPr>
        <w:t xml:space="preserve">Ergebnis: </w:t>
      </w:r>
      <w:r>
        <w:t>Temperatur und Vektorübertragene Krankheiten: 39,3 % bzw. 30,9 % aller Publikationen. 73 % (24/33) von 33 Tierkrankheitsstudien zeigten positive Assoziationen zwischen Klimavariablen und erhöhtem Erkrankungsrisiko. ~20 % retrospektive Evidenz (Klimawandel wirkt bereits); ~80 % prospektiv mit überwiegend variablen oder zunehmenden Gesundheitsfolgen. Häufigste Outcomes: Diarrhö, Malaria, Dengue, ischämische Herzerkrankung, Schlaganfall.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europäische und amerikanische Evidenzschwerpunkte, methodisch orientierungsweisend</w:t>
      </w:r>
    </w:p>
    <w:p>
      <w:r>
        <w:rPr>
          <w:color w:val="5A7D3A"/>
          <w:sz w:val="18"/>
        </w:rPr>
        <w:t>https://pubmed.ncbi.nlm.nih.gov/42816076/</w:t>
      </w:r>
    </w:p>
    <w:p>
      <w:pPr>
        <w:pStyle w:val="Heading2"/>
      </w:pPr>
      <w:r>
        <w:t>Berufliche Hitzebelastung bei mobilen Gesundheitsdiensten: Schweizer Querschnittstudie</w:t>
      </w:r>
    </w:p>
    <w:p>
      <w:r>
        <w:rPr>
          <w:i/>
          <w:color w:val="666666"/>
          <w:sz w:val="18"/>
        </w:rPr>
        <w:t>Fortunato R et al.  ·  BMC Public Health  ·  29.09.2026  ·  PMID 42811302</w:t>
      </w:r>
    </w:p>
    <w:p>
      <w:r>
        <w:t>Die Studie untersuchte die wahrgenommene Hitzebelastung und hitzebezogene Symptome bei Mitarbeitern mobiler Gesundheitsdienste in der Schweiz.</w:t>
      </w:r>
    </w:p>
    <w:p>
      <w:r>
        <w:rPr>
          <w:b/>
        </w:rPr>
        <w:t xml:space="preserve">Ergebnis: </w:t>
      </w:r>
      <w:r>
        <w:t>86 % der Teilnehmenden berichteten erhebliche Hitzebelastung. Assoziiert mit erhöhter Hitzebelastung waren: erhöhte Arbeitsbelastung (OR 14,06; 95%-KI 7,12–28,85), Hitzesymptome (OR 5,27; 2,20–12,88), eingeschränkte Flüssigkeitszufuhr (OR 2,59; 1,35–5,02), Arbeit in der Südschweiz (OR 3,98; 2,11–7,61).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gemäßigte Klimazone, direkt übertragbar auf Deutschland</w:t>
      </w:r>
    </w:p>
    <w:p>
      <w:r>
        <w:rPr>
          <w:color w:val="5A7D3A"/>
          <w:sz w:val="18"/>
        </w:rPr>
        <w:t>https://pubmed.ncbi.nlm.nih.gov/42811302/</w:t>
      </w:r>
    </w:p>
    <w:p>
      <w:pPr>
        <w:pStyle w:val="Heading2"/>
      </w:pPr>
      <w:r>
        <w:t>Feinstaub und Suizidmortalität in Südkorea: instrumentale Variablenschätzung</w:t>
      </w:r>
    </w:p>
    <w:p>
      <w:r>
        <w:rPr>
          <w:i/>
          <w:color w:val="666666"/>
          <w:sz w:val="18"/>
        </w:rPr>
        <w:t>Kwon O  ·  Front Public Health  ·  14.09.2026  ·  PMID 42807091</w:t>
      </w:r>
    </w:p>
    <w:p>
      <w:r>
        <w:t>Ökologische Analyse mit instrumentalen Variablen (thermische Inversion) zur Assoziation PM2,5 mit Suizidsterblichkeit in Südkorea 2015–2019.</w:t>
      </w:r>
    </w:p>
    <w:p>
      <w:r>
        <w:rPr>
          <w:b/>
        </w:rPr>
        <w:t xml:space="preserve">Ergebnis: </w:t>
      </w:r>
      <w:r>
        <w:t>Jeder 1 μg/m³ PM2,5-Anstieg assoziiert mit +0,6628 Suizidtodesfällen pro 1 Million Einwohner (β = 0,6628; 95%-KI 0,1049–1,2208), entsprechend 2,94 % Anstieg der Suizidmortalität. Differentielle Effekte: Männer (+7,873), älter Erwachsene (+21,18), niedrigere Schulbildung (+4,091), nicht-metropolitan (+5,434).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Ostasien, vergleichbar strukturiertes Gesundheitssystem, methodisch übertragbar</w:t>
      </w:r>
    </w:p>
    <w:p>
      <w:r>
        <w:rPr>
          <w:color w:val="5A7D3A"/>
          <w:sz w:val="18"/>
        </w:rPr>
        <w:t>https://pubmed.ncbi.nlm.nih.gov/42807091/</w:t>
      </w:r>
    </w:p>
    <w:p>
      <w:pPr>
        <w:pStyle w:val="Heading2"/>
      </w:pPr>
      <w:r>
        <w:t>Feinstaub und Lebenszufriedenheit: Genetische und Umweltfaktoren bei jungen Erwachsenen</w:t>
      </w:r>
    </w:p>
    <w:p>
      <w:r>
        <w:rPr>
          <w:i/>
          <w:color w:val="666666"/>
          <w:sz w:val="18"/>
        </w:rPr>
        <w:t>Kuznetsov DV et al.  ·  Environ Res  ·  01.11.2026  ·  PMID 42679876</w:t>
      </w:r>
    </w:p>
    <w:p>
      <w:r>
        <w:t>Zwillingsvergleichsanalyse mit bis zu 4.504 jungen Erwachsenen (TwinLife-Studie 2014–2022) zur Assoziation PM2,5/PM10 mit Lebenszufriedenheit.</w:t>
      </w:r>
    </w:p>
    <w:p>
      <w:r>
        <w:rPr>
          <w:b/>
        </w:rPr>
        <w:t xml:space="preserve">Ergebnis: </w:t>
      </w:r>
      <w:r>
        <w:t>PM2,5- und PM10-Effekt auf Lebenszufriedenheit liefen zwischen Familien (b = −0,05 bis −0,06; SE = 0,01; p &lt; 0,001), nicht innerhalb von Paaren, was auf gemeinsame Familienfaktoren hindeutet. PM10-Effekt verstärkte sich mit Alter (b = −0,004 bis −0,01; p = 0,01–0,03).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Zwillingsregister, gemäßigte Klimazone, strukturell übertragbar</w:t>
      </w:r>
    </w:p>
    <w:p>
      <w:r>
        <w:rPr>
          <w:color w:val="5A7D3A"/>
          <w:sz w:val="18"/>
        </w:rPr>
        <w:t>https://pubmed.ncbi.nlm.nih.gov/42679876/</w:t>
      </w:r>
    </w:p>
    <w:p>
      <w:pPr>
        <w:pStyle w:val="Heading2"/>
      </w:pPr>
      <w:r>
        <w:t>Klimawandel und Erschwinglichkeit gesunder Ernährung: globale Modellierungsstudie</w:t>
      </w:r>
    </w:p>
    <w:p>
      <w:r>
        <w:rPr>
          <w:i/>
          <w:color w:val="666666"/>
          <w:sz w:val="18"/>
        </w:rPr>
        <w:t>Jiang Y et al.  ·  Lancet Planet Health  ·  01.09.2026  ·  PMID 42679835</w:t>
      </w:r>
    </w:p>
    <w:p>
      <w:r>
        <w:t>Integriertes Modellierungsrahmenwerk (Ernteerträge, Preisanpassungen) zur Auswirkung klimabedingter Ertragsverluste auf globale Ernährungsaffordabilität bis 2100.</w:t>
      </w:r>
    </w:p>
    <w:p>
      <w:r>
        <w:rPr>
          <w:b/>
        </w:rPr>
        <w:t xml:space="preserve">Ergebnis: </w:t>
      </w:r>
      <w:r>
        <w:t>Unter hohem Emissionsszenario (SSP3-6.0) könnte Klimawandel 119 Millionen Menschen zusätzlich von gesunder Ernährung ausschließen (oberes Modellensemble: 1,6 Mrd.). Dietkosten könnten in stärkst betroffenen Regionen um 12 % ansteigen. Unter niedrigem (SSP1-2.6) und mittlerem Szenario (SSP2-4.5) Affordabilität kaum betroffen. Disparitäten: Afrika und Asien am stärksten betroffen.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Methodik relevant für Deutschland, absolute Auswirkungen in Hocheinkommensländern geringer</w:t>
      </w:r>
    </w:p>
    <w:p>
      <w:r>
        <w:rPr>
          <w:color w:val="5A7D3A"/>
          <w:sz w:val="18"/>
        </w:rPr>
        <w:t>https://pubmed.ncbi.nlm.nih.gov/42679835/</w:t>
      </w:r>
    </w:p>
    <w:p>
      <w:pPr>
        <w:pStyle w:val="Heading2"/>
      </w:pPr>
      <w:r>
        <w:t>Sterblichkeitsrisiko Neugeborener durch Stickstoffdioxid-Exposition während Schwangerschaft</w:t>
      </w:r>
    </w:p>
    <w:p>
      <w:r>
        <w:rPr>
          <w:i/>
          <w:color w:val="666666"/>
          <w:sz w:val="18"/>
        </w:rPr>
        <w:t>Li G et al.  ·  Environ Pollut  ·  01.11.2026  ·  PMID 42556696</w:t>
      </w:r>
    </w:p>
    <w:p>
      <w:r>
        <w:t>Kohortenstudie mit 3,98 Millionen Mutter-Kind-Paaren im Iran zur Assoziation pränataler NO₂-Exposition mit Totgeborenenrate.</w:t>
      </w:r>
    </w:p>
    <w:p>
      <w:r>
        <w:rPr>
          <w:b/>
        </w:rPr>
        <w:t xml:space="preserve">Ergebnis: </w:t>
      </w:r>
      <w:r>
        <w:t>Pro 10 μg/m³ NO₂-Anstieg: Odds Ratio 1,206 (95%-KI 1,192–1,220) für Totgeburten nach iranischer Definition und 1,106 (95%-KI 1,088–1,125) nach WHO-Definition. Bei Einhaltung von 10 μg/m³: 7.686 (95%-KI 7.242–8.127) vermeidbare Totgeburten, entsprechend 25,8 % (95%-KI 24,3–27,3 %) zurechenbarer Anteil.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 – Luftverschmutzung relevant, Schwellenwerte nicht direkt übertragbar</w:t>
      </w:r>
    </w:p>
    <w:p>
      <w:r>
        <w:rPr>
          <w:color w:val="5A7D3A"/>
          <w:sz w:val="18"/>
        </w:rPr>
        <w:t>https://pubmed.ncbi.nlm.nih.gov/42556696/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