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Hitze, Klima und Gesundheit</w:t>
      </w:r>
    </w:p>
    <w:p>
      <w:r>
        <w:rPr>
          <w:i/>
          <w:color w:val="666666"/>
          <w:sz w:val="18"/>
        </w:rPr>
        <w:t>Stand: 20.08.2026  |  2 Studien  |  klima.m-vf.de</w:t>
      </w:r>
    </w:p>
    <w:p>
      <w:pPr>
        <w:pStyle w:val="Heading1"/>
      </w:pPr>
      <w:r>
        <w:t>Aufgenommen am 20.08.2026</w:t>
      </w:r>
    </w:p>
    <w:p>
      <w:pPr>
        <w:pStyle w:val="Heading2"/>
      </w:pPr>
      <w:r>
        <w:t>Älter werdende Bevölkerungen in Klimaadaptationsplänen nachrangig: Analyse von 204 Ländern</w:t>
      </w:r>
    </w:p>
    <w:p>
      <w:r>
        <w:rPr>
          <w:i/>
          <w:color w:val="666666"/>
          <w:sz w:val="18"/>
        </w:rPr>
        <w:t>Katz GM et al.  ·  Lancet Healthy Longev  ·  12.08.2026  ·  PMID 42586104</w:t>
      </w:r>
    </w:p>
    <w:p>
      <w:r>
        <w:t>Eine Analyse von Klimaadaptationsplänen aus 204 Ländern untersuchte, inwieweit ältere Erwachsene (≥65 Jahre) bei der Anpassung an den Klimawandel berücksichtigt werden.</w:t>
      </w:r>
    </w:p>
    <w:p>
      <w:r>
        <w:rPr>
          <w:b/>
        </w:rPr>
        <w:t xml:space="preserve">Ergebnis: </w:t>
      </w:r>
      <w:r>
        <w:t>Nur 47 Länder (23,0 %) beschrieben konkrete Maßnahmen zur Unterstützung älterer Menschen. 125 Länder (61,3 %) integrierten ein bis fünf von 16 identifizierten Anpassungsthemen, während 77 Länder (37,7 %) überhaupt keine Themen einbezogen. Die häufigsten Maßnahmen waren Reaktionen auf Extremtemperaturen, Partizipation älterer Menschen und Katastrophenvorbereitung.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Kanada, ähnliche Alterungsdemografie und Versorgungsstruktur wie Deutschland</w:t>
      </w:r>
    </w:p>
    <w:p>
      <w:r>
        <w:rPr>
          <w:color w:val="5A7D3A"/>
          <w:sz w:val="18"/>
        </w:rPr>
        <w:t>https://pubmed.ncbi.nlm.nih.gov/42586104/</w:t>
      </w:r>
    </w:p>
    <w:p>
      <w:pPr>
        <w:pStyle w:val="Heading2"/>
      </w:pPr>
      <w:r>
        <w:t>Gemeindegeleitete Klimamaßnahmen: Gesundheits-Co-Benefits durch Natur- und Wasserkontakt</w:t>
      </w:r>
    </w:p>
    <w:p>
      <w:r>
        <w:rPr>
          <w:i/>
          <w:color w:val="666666"/>
          <w:sz w:val="18"/>
        </w:rPr>
        <w:t>Wendelboe-Nelson C et al.  ·  Int J Environ Res Public Health  ·  27.06.2026  ·  PMID 42512150</w:t>
      </w:r>
    </w:p>
    <w:p>
      <w:r>
        <w:t>Eine retrospektive Analyse von 32 durch die Edinburgh Communities Climate Action Network finanzierten Projekten untersuchte Gesundheits-Co-Benefits dieser klimaorientierten Maßnahmen.</w:t>
      </w:r>
    </w:p>
    <w:p>
      <w:r>
        <w:rPr>
          <w:b/>
        </w:rPr>
        <w:t xml:space="preserve">Ergebnis: </w:t>
      </w:r>
      <w:r>
        <w:t>Trotz fehlender primärer Gesundheitsziele berichteten 21 von 32 Projekten (66 %) sekundäre Gesundheitsergebnisse. Projekte mit direktem Naturkontakt zeigten stärkste Co-Benefits: 9 von 10 (90 %) mit hohem Naturkontakt vs. 2 von 8 (25 %) mit niedrigem Kontakt. 94 % berichteten erhöhte Bereitschaft zu zukünftiger Partizipation, 76 % mentale Verbesserungen nach Gemeinschaftsgarteninitiativen. Blauräume waren besonders relevant für mentale Gesundheit.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Schottland: vergleichbare Klimazone und Organisationsstrukturen, evidence für Co-Benefits-Ansatz</w:t>
      </w:r>
    </w:p>
    <w:p>
      <w:r>
        <w:rPr>
          <w:color w:val="5A7D3A"/>
          <w:sz w:val="18"/>
        </w:rPr>
        <w:t>https://pubmed.ncbi.nlm.nih.gov/42512150/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Hitze, Klima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2026-08-20T06:00:00Z</dcterms:created>
  <dcterms:modified xsi:type="dcterms:W3CDTF">2026-08-20T06:00:00Z</dcterms:modified>
  <cp:category/>
</cp:coreProperties>
</file>