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20.10.2026  |  6 Studien  |  klima.m-vf.de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Schwermetallbelastung Schwangerer: Urin, Hausstaub und Luftqualität</w:t>
      </w:r>
    </w:p>
    <w:p>
      <w:r>
        <w:rPr>
          <w:i/>
          <w:color w:val="666666"/>
          <w:sz w:val="18"/>
        </w:rPr>
        <w:t>Moradnia M et al.  ·  Environ Geochem Health  ·  19.10.2026  ·  PMID 42895578</w:t>
      </w:r>
    </w:p>
    <w:p>
      <w:r>
        <w:t>Studie untersuchte die räumliche Variabilität von Blei, Chrom, Kadmium und Nickel in Urin und Hausstaub bei 80 schwangeren Frauen im Kontext der Luftqualität.</w:t>
      </w:r>
    </w:p>
    <w:p>
      <w:r>
        <w:rPr>
          <w:b/>
        </w:rPr>
        <w:t xml:space="preserve">Ergebnis: </w:t>
      </w:r>
      <w:r>
        <w:t>Bedeutsame räumliche Unterschiede für Urin-Metallkonzentrationen und Air-Quality-Index (p&lt;0,001), nicht aber für Hausstaub-Metallkonzentrationen. Blei im Hausstaub Mittelwert 111,10 μg/g. Gebäudealter korrelierte stark mit Blei im Staub (ρ=0,788, p&lt;0,001). Urin- und Staubprofile nicht signifikant korreliert.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Iran; zeigt prinzipielle Komplexität pränataler Exposition – in Deutschland relevant für vulnerable Populationen und Screening-Strategien.</w:t>
      </w:r>
    </w:p>
    <w:p>
      <w:r>
        <w:rPr>
          <w:color w:val="5A7D3A"/>
          <w:sz w:val="18"/>
        </w:rPr>
        <w:t>https://pubmed.ncbi.nlm.nih.gov/42895578/</w:t>
      </w:r>
    </w:p>
    <w:p>
      <w:pPr>
        <w:pStyle w:val="Heading2"/>
      </w:pPr>
      <w:r>
        <w:t>Luftverschmutzung und Hirnleistung: Schutzeffekt gesunder Lebensweise</w:t>
      </w:r>
    </w:p>
    <w:p>
      <w:r>
        <w:rPr>
          <w:i/>
          <w:color w:val="666666"/>
          <w:sz w:val="18"/>
        </w:rPr>
        <w:t>Zhang Y et al.  ·  J Glob Health  ·  19.10.2026  ·  PMID 42895283</w:t>
      </w:r>
    </w:p>
    <w:p>
      <w:r>
        <w:t>Studie untersuchte die Assoziation zwischen Langzeit-Luftverschmutzung und kognitiven Störungen bei älteren Erwachsenen in China sowie die schützende Rolle von Lebensstiländerungen.</w:t>
      </w:r>
    </w:p>
    <w:p>
      <w:r>
        <w:rPr>
          <w:b/>
        </w:rPr>
        <w:t xml:space="preserve">Ergebnis: </w:t>
      </w:r>
      <w:r>
        <w:t>Pro 10 μg/m³ Feinstaub (PM2.5) erhöhtes Kognitiv-Störungs-Risiko (HR 1,005; 95%-KI 1,001–1,009). Günstige Lebensweise reduzierte Risiko um etwa 52% bei hoher Exposition; Lifestyle mediierte 8,4–9,4% der Assoziation. Mischexposition mehrerer Schadstoffe zeigte signifikanten positiven Effekt auf Kognitiv-Störungs-Risiko (OR 1,028; 95%-KI 1,006–1,040).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mit vergleichbarem Alter und Exposition; Lebensstil-Intervention prinzipiell auch in Deutschland anwendbar.</w:t>
      </w:r>
    </w:p>
    <w:p>
      <w:r>
        <w:rPr>
          <w:color w:val="5A7D3A"/>
          <w:sz w:val="18"/>
        </w:rPr>
        <w:t>https://pubmed.ncbi.nlm.nih.gov/42895283/</w:t>
      </w:r>
    </w:p>
    <w:p>
      <w:pPr>
        <w:pStyle w:val="Heading2"/>
      </w:pPr>
      <w:r>
        <w:t>Planetary-Health-Literacy: Messinstrumente auf dem Prüfstand</w:t>
      </w:r>
    </w:p>
    <w:p>
      <w:r>
        <w:rPr>
          <w:i/>
          <w:color w:val="666666"/>
          <w:sz w:val="18"/>
        </w:rPr>
        <w:t>Reismann L et al.  ·  Health Qual Life Outcomes  ·  16.10.2026  ·  PMID 42888415</w:t>
      </w:r>
    </w:p>
    <w:p>
      <w:r>
        <w:t>Systematische Übersicht zur Güte von Messinstrumenten für Planetary and One Health Literacy nach COSMIN-Kriterien.</w:t>
      </w:r>
    </w:p>
    <w:p>
      <w:r>
        <w:rPr>
          <w:b/>
        </w:rPr>
        <w:t xml:space="preserve">Ergebnis: </w:t>
      </w:r>
      <w:r>
        <w:t>Von 192 gescreenten Datensätzen 4 Studien identifiziert mit 3 Instrumenten (CCHLS, Climate Change and Infectious Disease Literacy Scale, SFLS). Sustainable Food Literacy Scale (SFLS) zeigte beste Messeigenschaften mit sehr guter Evidenzqualität; türkische Adaptation hatte niedrige methodische Qualität. Alle Instrumente: niedrige bis sehr niedrige Evidenzqualität für Entwicklung und Inhaltsvalidität.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 unter Autoren; zeigt Messbarkeits-Lücke bei Klimabewusstsein für deutsches Gesundheitswesen.</w:t>
      </w:r>
    </w:p>
    <w:p>
      <w:r>
        <w:rPr>
          <w:color w:val="5A7D3A"/>
          <w:sz w:val="18"/>
        </w:rPr>
        <w:t>https://pubmed.ncbi.nlm.nih.gov/42888415/</w:t>
      </w:r>
    </w:p>
    <w:p>
      <w:pPr>
        <w:pStyle w:val="Heading2"/>
      </w:pPr>
      <w:r>
        <w:t>Passivrauchen in der Schwangerschaft: Selbstwirksamkeit und objektive Biomarker</w:t>
      </w:r>
    </w:p>
    <w:p>
      <w:r>
        <w:rPr>
          <w:i/>
          <w:color w:val="666666"/>
          <w:sz w:val="18"/>
        </w:rPr>
        <w:t>Karimiankakolaki Z et al.  ·  BMC Res Notes  ·  05.10.2026  ·  PMID 42881409</w:t>
      </w:r>
    </w:p>
    <w:p>
      <w:r>
        <w:t>Querschnittsstudie untersuchte Zusammenhänge zwischen Selbstwirksamkeit rauchender Männer, ihrer Zigarettenkonsumption, Angaben schwangerer Partnerinnen und Speichel-Cotinin-Spiegeln.</w:t>
      </w:r>
    </w:p>
    <w:p>
      <w:r>
        <w:rPr>
          <w:b/>
        </w:rPr>
        <w:t xml:space="preserve">Ergebnis: </w:t>
      </w:r>
      <w:r>
        <w:t>140 rauchende Männer und schwangere Frauen: mittlere Männer-Selbstwirksamkeit 37,86 (SD 4,27), Zigarettenkonsum 6,46 (SD 4,50) pro Tag, Cotinin-Spiegel 52,90 (SD 33,39) pg/ml. Signifikante Korrelationen zwischen Selbstwirksamkeit und Konsum (r=−0,31), Selbstwirksamkeit und berichteter Exposition (r=−0,41), berichteter Exposition und Cotinin (r=0,72). Im Regressionsmodell: berichtete Exposition (β=0,63, p&lt;0,001) und Selbstwirksamkeit (β=−0,14, p=0,022) erklärten 56% der Varianz in Cotinin.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Iran; Mechanismus (Verhaltensfaktoren und objektive Biomarker) auf Deutschland übertragbar; Screening von Schwangerschaftsexposition.</w:t>
      </w:r>
    </w:p>
    <w:p>
      <w:r>
        <w:rPr>
          <w:color w:val="5A7D3A"/>
          <w:sz w:val="18"/>
        </w:rPr>
        <w:t>https://pubmed.ncbi.nlm.nih.gov/42881409/</w:t>
      </w:r>
    </w:p>
    <w:p>
      <w:pPr>
        <w:pStyle w:val="Heading2"/>
      </w:pPr>
      <w:r>
        <w:t>Luftverschmutzung und Sterblichkeit in reichem Land: Abu Dhabi</w:t>
      </w:r>
    </w:p>
    <w:p>
      <w:r>
        <w:rPr>
          <w:i/>
          <w:color w:val="666666"/>
          <w:sz w:val="18"/>
        </w:rPr>
        <w:t>Wei T et al.  ·  Risk Anal  ·  Nov. 2026  ·  PMID 42872515</w:t>
      </w:r>
    </w:p>
    <w:p>
      <w:r>
        <w:t>Studie schätzte die Krankheitslast durch Feinstaub und Ozon in Abu Dhabi 2019–2022 und verglich sie mit Daten von 2008.</w:t>
      </w:r>
    </w:p>
    <w:p>
      <w:r>
        <w:rPr>
          <w:b/>
        </w:rPr>
        <w:t xml:space="preserve">Ergebnis: </w:t>
      </w:r>
      <w:r>
        <w:t>Zurechenbare Todesfälle stiegen von 231 (90%-UI 59–427) im Jahr 2008 auf 1.249 (90%-UI 507–2.169) im Mittel 2019–2022, trotz Investitionen in Luftqualitätsmanagemnet. Stadtgebiete mit höherer Schadstoffkonzentration zeigen höchste Risiken.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Wohlhabendes Land, andere Klimazone; Methodik und Monitoring-Ansatz übertragbar, nicht Schwellwerte.</w:t>
      </w:r>
    </w:p>
    <w:p>
      <w:r>
        <w:rPr>
          <w:color w:val="5A7D3A"/>
          <w:sz w:val="18"/>
        </w:rPr>
        <w:t>https://pubmed.ncbi.nlm.nih.gov/42872515/</w:t>
      </w:r>
    </w:p>
    <w:p>
      <w:pPr>
        <w:pStyle w:val="Heading2"/>
      </w:pPr>
      <w:r>
        <w:t>Evaluationszeiträume bei Tabak-Kontrollrichtlinien in Nordamerika und Commonwealth</w:t>
      </w:r>
    </w:p>
    <w:p>
      <w:r>
        <w:rPr>
          <w:i/>
          <w:color w:val="666666"/>
          <w:sz w:val="18"/>
        </w:rPr>
        <w:t>Aziz H et al.  ·  Front Public Health  ·  29.09.2026  ·  PMID 42871433</w:t>
      </w:r>
    </w:p>
    <w:p>
      <w:r>
        <w:t>Systematische Übersicht der Evaluationsverzögerung zwischen Politikimplementierung und Messung von Verhaltenseffekten in Tabakkontrollstudien.</w:t>
      </w:r>
    </w:p>
    <w:p>
      <w:r>
        <w:rPr>
          <w:b/>
        </w:rPr>
        <w:t xml:space="preserve">Ergebnis: </w:t>
      </w:r>
      <w:r>
        <w:t>21 Studien analysiert: Rauchfrei-Richtlinien wurden früher evaluiert (6 Monate bis 1 Jahr), Einzelhandels- und Nikotin-Richtlinien später (≥1 Jahr). 90,5% der Studien zeigten niedriges Verzerrungsrisiko. Die meisten Studien berichteten positive Effekte nach Implementierung.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mit ähnlichem Gesundheitssystem; Evidenzlage für optimale Evaluationszeiträume nach Politiktyp relevant für deutsches Tabakkontroll-Monitoring.</w:t>
      </w:r>
    </w:p>
    <w:p>
      <w:r>
        <w:rPr>
          <w:color w:val="5A7D3A"/>
          <w:sz w:val="18"/>
        </w:rPr>
        <w:t>https://pubmed.ncbi.nlm.nih.gov/42871433/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