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20.10.2026  |  355 Studien  |  klima.m-vf.de</w:t>
      </w:r>
    </w:p>
    <w:p>
      <w:pPr>
        <w:pStyle w:val="Heading1"/>
      </w:pPr>
      <w:r>
        <w:t>Aufgenommen am 20.10.2026</w:t>
      </w:r>
    </w:p>
    <w:p>
      <w:pPr>
        <w:pStyle w:val="Heading2"/>
      </w:pPr>
      <w:r>
        <w:t>Schwermetallbelastung Schwangerer: Urin, Hausstaub und Luftqualität</w:t>
      </w:r>
    </w:p>
    <w:p>
      <w:r>
        <w:rPr>
          <w:i/>
          <w:color w:val="666666"/>
          <w:sz w:val="18"/>
        </w:rPr>
        <w:t>Moradnia M et al.  ·  Environ Geochem Health  ·  19.10.2026  ·  PMID 42895578</w:t>
      </w:r>
    </w:p>
    <w:p>
      <w:r>
        <w:t>Studie untersuchte die räumliche Variabilität von Blei, Chrom, Kadmium und Nickel in Urin und Hausstaub bei 80 schwangeren Frauen im Kontext der Luftqualität.</w:t>
      </w:r>
    </w:p>
    <w:p>
      <w:r>
        <w:rPr>
          <w:b/>
        </w:rPr>
        <w:t xml:space="preserve">Ergebnis: </w:t>
      </w:r>
      <w:r>
        <w:t>Bedeutsame räumliche Unterschiede für Urin-Metallkonzentrationen und Air-Quality-Index (p&lt;0,001), nicht aber für Hausstaub-Metallkonzentrationen. Blei im Hausstaub Mittelwert 111,10 μg/g. Gebäudealter korrelierte stark mit Blei im Staub (ρ=0,788, p&lt;0,001). Urin- und Staubprofile nicht signifikant korreliert.</w:t>
      </w:r>
    </w:p>
    <w:p>
      <w:r>
        <w:rPr>
          <w:b/>
          <w:sz w:val="19"/>
        </w:rPr>
        <w:t xml:space="preserve">Übertragbarkeit: </w:t>
      </w:r>
      <w:r>
        <w:rPr>
          <w:sz w:val="19"/>
        </w:rPr>
        <w:t>Iran; zeigt prinzipielle Komplexität pränataler Exposition – in Deutschland relevant für vulnerable Populationen und Screening-Strategien.</w:t>
      </w:r>
    </w:p>
    <w:p>
      <w:r>
        <w:rPr>
          <w:color w:val="5A7D3A"/>
          <w:sz w:val="18"/>
        </w:rPr>
        <w:t>https://pubmed.ncbi.nlm.nih.gov/42895578/</w:t>
      </w:r>
    </w:p>
    <w:p>
      <w:pPr>
        <w:pStyle w:val="Heading2"/>
      </w:pPr>
      <w:r>
        <w:t>Luftverschmutzung und Hirnleistung: Schutzeffekt gesunder Lebensweise</w:t>
      </w:r>
    </w:p>
    <w:p>
      <w:r>
        <w:rPr>
          <w:i/>
          <w:color w:val="666666"/>
          <w:sz w:val="18"/>
        </w:rPr>
        <w:t>Zhang Y et al.  ·  J Glob Health  ·  19.10.2026  ·  PMID 42895283</w:t>
      </w:r>
    </w:p>
    <w:p>
      <w:r>
        <w:t>Studie untersuchte die Assoziation zwischen Langzeit-Luftverschmutzung und kognitiven Störungen bei älteren Erwachsenen in China sowie die schützende Rolle von Lebensstiländerungen.</w:t>
      </w:r>
    </w:p>
    <w:p>
      <w:r>
        <w:rPr>
          <w:b/>
        </w:rPr>
        <w:t xml:space="preserve">Ergebnis: </w:t>
      </w:r>
      <w:r>
        <w:t>Pro 10 μg/m³ Feinstaub (PM2.5) erhöhtes Kognitiv-Störungs-Risiko (HR 1,005; 95%-KI 1,001–1,009). Günstige Lebensweise reduzierte Risiko um etwa 52% bei hoher Exposition; Lifestyle mediierte 8,4–9,4% der Assoziation. Mischexposition mehrerer Schadstoffe zeigte signifikanten positiven Effekt auf Kognitiv-Störungs-Risiko (OR 1,028; 95%-KI 1,006–1,040).</w:t>
      </w:r>
    </w:p>
    <w:p>
      <w:r>
        <w:rPr>
          <w:b/>
          <w:sz w:val="19"/>
        </w:rPr>
        <w:t xml:space="preserve">Übertragbarkeit: </w:t>
      </w:r>
      <w:r>
        <w:rPr>
          <w:sz w:val="19"/>
        </w:rPr>
        <w:t>China mit vergleichbarem Alter und Exposition; Lebensstil-Intervention prinzipiell auch in Deutschland anwendbar.</w:t>
      </w:r>
    </w:p>
    <w:p>
      <w:r>
        <w:rPr>
          <w:color w:val="5A7D3A"/>
          <w:sz w:val="18"/>
        </w:rPr>
        <w:t>https://pubmed.ncbi.nlm.nih.gov/42895283/</w:t>
      </w:r>
    </w:p>
    <w:p>
      <w:pPr>
        <w:pStyle w:val="Heading2"/>
      </w:pPr>
      <w:r>
        <w:t>Planetary-Health-Literacy: Messinstrumente auf dem Prüfstand</w:t>
      </w:r>
    </w:p>
    <w:p>
      <w:r>
        <w:rPr>
          <w:i/>
          <w:color w:val="666666"/>
          <w:sz w:val="18"/>
        </w:rPr>
        <w:t>Reismann L et al.  ·  Health Qual Life Outcomes  ·  16.10.2026  ·  PMID 42888415</w:t>
      </w:r>
    </w:p>
    <w:p>
      <w:r>
        <w:t>Systematische Übersicht zur Güte von Messinstrumenten für Planetary and One Health Literacy nach COSMIN-Kriterien.</w:t>
      </w:r>
    </w:p>
    <w:p>
      <w:r>
        <w:rPr>
          <w:b/>
        </w:rPr>
        <w:t xml:space="preserve">Ergebnis: </w:t>
      </w:r>
      <w:r>
        <w:t>Von 192 gescreenten Datensätzen 4 Studien identifiziert mit 3 Instrumenten (CCHLS, Climate Change and Infectious Disease Literacy Scale, SFLS). Sustainable Food Literacy Scale (SFLS) zeigte beste Messeigenschaften mit sehr guter Evidenzqualität; türkische Adaptation hatte niedrige methodische Qualität. Alle Instrumente: niedrige bis sehr niedrige Evidenzqualität für Entwicklung und Inhaltsvalidität.</w:t>
      </w:r>
    </w:p>
    <w:p>
      <w:r>
        <w:rPr>
          <w:b/>
          <w:sz w:val="19"/>
        </w:rPr>
        <w:t xml:space="preserve">Übertragbarkeit: </w:t>
      </w:r>
      <w:r>
        <w:rPr>
          <w:sz w:val="19"/>
        </w:rPr>
        <w:t>Deutsche Studien unter Autoren; zeigt Messbarkeits-Lücke bei Klimabewusstsein für deutsches Gesundheitswesen.</w:t>
      </w:r>
    </w:p>
    <w:p>
      <w:r>
        <w:rPr>
          <w:color w:val="5A7D3A"/>
          <w:sz w:val="18"/>
        </w:rPr>
        <w:t>https://pubmed.ncbi.nlm.nih.gov/42888415/</w:t>
      </w:r>
    </w:p>
    <w:p>
      <w:pPr>
        <w:pStyle w:val="Heading2"/>
      </w:pPr>
      <w:r>
        <w:t>Passivrauchen in der Schwangerschaft: Selbstwirksamkeit und objektive Biomarker</w:t>
      </w:r>
    </w:p>
    <w:p>
      <w:r>
        <w:rPr>
          <w:i/>
          <w:color w:val="666666"/>
          <w:sz w:val="18"/>
        </w:rPr>
        <w:t>Karimiankakolaki Z et al.  ·  BMC Res Notes  ·  05.10.2026  ·  PMID 42881409</w:t>
      </w:r>
    </w:p>
    <w:p>
      <w:r>
        <w:t>Querschnittsstudie untersuchte Zusammenhänge zwischen Selbstwirksamkeit rauchender Männer, ihrer Zigarettenkonsumption, Angaben schwangerer Partnerinnen und Speichel-Cotinin-Spiegeln.</w:t>
      </w:r>
    </w:p>
    <w:p>
      <w:r>
        <w:rPr>
          <w:b/>
        </w:rPr>
        <w:t xml:space="preserve">Ergebnis: </w:t>
      </w:r>
      <w:r>
        <w:t>140 rauchende Männer und schwangere Frauen: mittlere Männer-Selbstwirksamkeit 37,86 (SD 4,27), Zigarettenkonsum 6,46 (SD 4,50) pro Tag, Cotinin-Spiegel 52,90 (SD 33,39) pg/ml. Signifikante Korrelationen zwischen Selbstwirksamkeit und Konsum (r=−0,31), Selbstwirksamkeit und berichteter Exposition (r=−0,41), berichteter Exposition und Cotinin (r=0,72). Im Regressionsmodell: berichtete Exposition (β=0,63, p&lt;0,001) und Selbstwirksamkeit (β=−0,14, p=0,022) erklärten 56% der Varianz in Cotinin.</w:t>
      </w:r>
    </w:p>
    <w:p>
      <w:r>
        <w:rPr>
          <w:b/>
          <w:sz w:val="19"/>
        </w:rPr>
        <w:t xml:space="preserve">Übertragbarkeit: </w:t>
      </w:r>
      <w:r>
        <w:rPr>
          <w:sz w:val="19"/>
        </w:rPr>
        <w:t>Iran; Mechanismus (Verhaltensfaktoren und objektive Biomarker) auf Deutschland übertragbar; Screening von Schwangerschaftsexposition.</w:t>
      </w:r>
    </w:p>
    <w:p>
      <w:r>
        <w:rPr>
          <w:color w:val="5A7D3A"/>
          <w:sz w:val="18"/>
        </w:rPr>
        <w:t>https://pubmed.ncbi.nlm.nih.gov/42881409/</w:t>
      </w:r>
    </w:p>
    <w:p>
      <w:pPr>
        <w:pStyle w:val="Heading2"/>
      </w:pPr>
      <w:r>
        <w:t>Luftverschmutzung und Sterblichkeit in reichem Land: Abu Dhabi</w:t>
      </w:r>
    </w:p>
    <w:p>
      <w:r>
        <w:rPr>
          <w:i/>
          <w:color w:val="666666"/>
          <w:sz w:val="18"/>
        </w:rPr>
        <w:t>Wei T et al.  ·  Risk Anal  ·  Nov. 2026  ·  PMID 42872515</w:t>
      </w:r>
    </w:p>
    <w:p>
      <w:r>
        <w:t>Studie schätzte die Krankheitslast durch Feinstaub und Ozon in Abu Dhabi 2019–2022 und verglich sie mit Daten von 2008.</w:t>
      </w:r>
    </w:p>
    <w:p>
      <w:r>
        <w:rPr>
          <w:b/>
        </w:rPr>
        <w:t xml:space="preserve">Ergebnis: </w:t>
      </w:r>
      <w:r>
        <w:t>Zurechenbare Todesfälle stiegen von 231 (90%-UI 59–427) im Jahr 2008 auf 1.249 (90%-UI 507–2.169) im Mittel 2019–2022, trotz Investitionen in Luftqualitätsmanagemnet. Stadtgebiete mit höherer Schadstoffkonzentration zeigen höchste Risiken.</w:t>
      </w:r>
    </w:p>
    <w:p>
      <w:r>
        <w:rPr>
          <w:b/>
          <w:sz w:val="19"/>
        </w:rPr>
        <w:t xml:space="preserve">Übertragbarkeit: </w:t>
      </w:r>
      <w:r>
        <w:rPr>
          <w:sz w:val="19"/>
        </w:rPr>
        <w:t>Wohlhabendes Land, andere Klimazone; Methodik und Monitoring-Ansatz übertragbar, nicht Schwellwerte.</w:t>
      </w:r>
    </w:p>
    <w:p>
      <w:r>
        <w:rPr>
          <w:color w:val="5A7D3A"/>
          <w:sz w:val="18"/>
        </w:rPr>
        <w:t>https://pubmed.ncbi.nlm.nih.gov/42872515/</w:t>
      </w:r>
    </w:p>
    <w:p>
      <w:pPr>
        <w:pStyle w:val="Heading2"/>
      </w:pPr>
      <w:r>
        <w:t>Evaluationszeiträume bei Tabak-Kontrollrichtlinien in Nordamerika und Commonwealth</w:t>
      </w:r>
    </w:p>
    <w:p>
      <w:r>
        <w:rPr>
          <w:i/>
          <w:color w:val="666666"/>
          <w:sz w:val="18"/>
        </w:rPr>
        <w:t>Aziz H et al.  ·  Front Public Health  ·  29.09.2026  ·  PMID 42871433</w:t>
      </w:r>
    </w:p>
    <w:p>
      <w:r>
        <w:t>Systematische Übersicht der Evaluationsverzögerung zwischen Politikimplementierung und Messung von Verhaltenseffekten in Tabakkontrollstudien.</w:t>
      </w:r>
    </w:p>
    <w:p>
      <w:r>
        <w:rPr>
          <w:b/>
        </w:rPr>
        <w:t xml:space="preserve">Ergebnis: </w:t>
      </w:r>
      <w:r>
        <w:t>21 Studien analysiert: Rauchfrei-Richtlinien wurden früher evaluiert (6 Monate bis 1 Jahr), Einzelhandels- und Nikotin-Richtlinien später (≥1 Jahr). 90,5% der Studien zeigten niedriges Verzerrungsrisiko. Die meisten Studien berichteten positive Effekte nach Implementierung.</w:t>
      </w:r>
    </w:p>
    <w:p>
      <w:r>
        <w:rPr>
          <w:b/>
          <w:sz w:val="19"/>
        </w:rPr>
        <w:t xml:space="preserve">Übertragbarkeit: </w:t>
      </w:r>
      <w:r>
        <w:rPr>
          <w:sz w:val="19"/>
        </w:rPr>
        <w:t>Kanada mit ähnlichem Gesundheitssystem; Evidenzlage für optimale Evaluationszeiträume nach Politiktyp relevant für deutsches Tabakkontroll-Monitoring.</w:t>
      </w:r>
    </w:p>
    <w:p>
      <w:r>
        <w:rPr>
          <w:color w:val="5A7D3A"/>
          <w:sz w:val="18"/>
        </w:rPr>
        <w:t>https://pubmed.ncbi.nlm.nih.gov/42871433/</w:t>
      </w:r>
    </w:p>
    <w:p>
      <w:pPr>
        <w:pStyle w:val="Heading1"/>
      </w:pPr>
      <w:r>
        <w:t>Aufgenommen am 19.10.2026</w:t>
      </w:r>
    </w:p>
    <w:p>
      <w:pPr>
        <w:pStyle w:val="Heading2"/>
      </w:pPr>
      <w:r>
        <w:t>Urbane Wärmeinsel und Grünflächenmangel: Satellitenmessung in chinesischen Städten</w:t>
      </w:r>
    </w:p>
    <w:p>
      <w:r>
        <w:rPr>
          <w:i/>
          <w:color w:val="666666"/>
          <w:sz w:val="18"/>
        </w:rPr>
        <w:t>Pu W et al.  ·  Environ Monit Assess  ·  17.10.2026  ·  PMID 42891866</w:t>
      </w:r>
    </w:p>
    <w:p>
      <w:r>
        <w:t>Harmonisierte Landsat-Oberflächentemperatur, Landbedeckung und Bevölkerungsdaten in vier chinesischen Großstädten (2020–2024) zur Kartierung von Wärmestress und Blaugrün-Defiziten.</w:t>
      </w:r>
    </w:p>
    <w:p>
      <w:r>
        <w:rPr>
          <w:b/>
        </w:rPr>
        <w:t xml:space="preserve">Ergebnis: </w:t>
      </w:r>
      <w:r>
        <w:t>8,8 bis 14,1 % der innerstädtischen Grid-Zellen zeigten hohe Wärmestrahlung bei geringem Blaugrün-Angebot (1,52- bis 1,63-fach über Nullerwartung); höchstes Bevölkerungsdezil war 4,19 bis 5,23 °C wärmer als niedrigstes; Modellgüte (R² 0,632–0,896 in städtischen Modellen).</w:t>
      </w:r>
    </w:p>
    <w:p>
      <w:r>
        <w:rPr>
          <w:b/>
          <w:sz w:val="19"/>
        </w:rPr>
        <w:t xml:space="preserve">Übertragbarkeit: </w:t>
      </w:r>
      <w:r>
        <w:rPr>
          <w:sz w:val="19"/>
        </w:rPr>
        <w:t>Chinesische Ballungsräume; Methodik übertragbar – deutsche Städte sollten ähnliche Risikomapping durchführen</w:t>
      </w:r>
    </w:p>
    <w:p>
      <w:r>
        <w:rPr>
          <w:color w:val="5A7D3A"/>
          <w:sz w:val="18"/>
        </w:rPr>
        <w:t>https://pubmed.ncbi.nlm.nih.gov/42891866/</w:t>
      </w:r>
    </w:p>
    <w:p>
      <w:pPr>
        <w:pStyle w:val="Heading2"/>
      </w:pPr>
      <w:r>
        <w:t>Ozonbelastung und Atemwegsgesundheit in den USA: Systematische Übersicht</w:t>
      </w:r>
    </w:p>
    <w:p>
      <w:r>
        <w:rPr>
          <w:i/>
          <w:color w:val="666666"/>
          <w:sz w:val="18"/>
        </w:rPr>
        <w:t>Cho Y et al.  ·  Curr Environ Health Rep  ·  17.10.2026  ·  PMID 42891783</w:t>
      </w:r>
    </w:p>
    <w:p>
      <w:r>
        <w:t>Systematische Übersicht von 1980 bis 2026 über Effekte von Ozonschwankungen auf Lungenfunktion, Asthmasymptome und Atemwegsmorbidität in den USA.</w:t>
      </w:r>
    </w:p>
    <w:p>
      <w:r>
        <w:rPr>
          <w:b/>
        </w:rPr>
        <w:t xml:space="preserve">Ergebnis: </w:t>
      </w:r>
      <w:r>
        <w:t>Konsistente adverse respiratorische Effekte nachgewiesen: Lungenfunktionsdefizite auch unterhalb aktueller Grenzwerte, erhöhte Notaufnahmebesuche und Hospitalisierungen bei Kindern, älteren Erwachsenen und Patienten mit Vorerkrankungen; Schulfehlzeiten als sensitive Outcome-Indikatoren für pädiatrische Respirationsgesundheit identifiziert.</w:t>
      </w:r>
    </w:p>
    <w:p>
      <w:r>
        <w:rPr>
          <w:b/>
          <w:sz w:val="19"/>
        </w:rPr>
        <w:t xml:space="preserve">Übertragbarkeit: </w:t>
      </w:r>
      <w:r>
        <w:rPr>
          <w:sz w:val="19"/>
        </w:rPr>
        <w:t>USA-Daten; Klimawandel verstärkt Ozonbildung – Relevanz für deutsche Ballungsräume</w:t>
      </w:r>
    </w:p>
    <w:p>
      <w:r>
        <w:rPr>
          <w:color w:val="5A7D3A"/>
          <w:sz w:val="18"/>
        </w:rPr>
        <w:t>https://pubmed.ncbi.nlm.nih.gov/42891783/</w:t>
      </w:r>
    </w:p>
    <w:p>
      <w:pPr>
        <w:pStyle w:val="Heading2"/>
      </w:pPr>
      <w:r>
        <w:t>PM2,5 und Lebenserwartung: Methodische Fallstricke in globalen Paneldaten</w:t>
      </w:r>
    </w:p>
    <w:p>
      <w:r>
        <w:rPr>
          <w:i/>
          <w:color w:val="666666"/>
          <w:sz w:val="18"/>
        </w:rPr>
        <w:t>Lu H et al.  ·  Front Public Health  ·  01.10.2026  ·  PMID 42889153</w:t>
      </w:r>
    </w:p>
    <w:p>
      <w:r>
        <w:t>Spezifikationsstudie zu PM2,5-Effekten auf nationale Lebenserwartung (186 Länder, 2000-2023) mit Test auf Robustheit gegenüber Trendkontrolle.</w:t>
      </w:r>
    </w:p>
    <w:p>
      <w:r>
        <w:rPr>
          <w:b/>
        </w:rPr>
        <w:t xml:space="preserve">Ergebnis: </w:t>
      </w:r>
      <w:r>
        <w:t>Konventionelle Modelle zeigten paradox positive PM2,5-Assoziation (+0,406 Jahre pro 10 µg/m³). Nach Hinzunahme von länderspezifischen linearen Trends: -0,023 Jahre (95%-KI -0,175 bis 0,129); in First-Differences-Modellen: -0,006 Jahre (95%-KI -0,085 bis 0,073). Zukünftige PM2,5 zeigte positive Cross-sectional-Assoziation, die nach Anpassung an aktuelle Werte attenuiert wurde.</w:t>
      </w:r>
    </w:p>
    <w:p>
      <w:r>
        <w:rPr>
          <w:b/>
          <w:sz w:val="19"/>
        </w:rPr>
        <w:t xml:space="preserve">Übertragbarkeit: </w:t>
      </w:r>
      <w:r>
        <w:rPr>
          <w:sz w:val="19"/>
        </w:rPr>
        <w:t>Methodische Warnung für Luftqualitätsstudien; Deutschland sollte Trend-Diagnostik verstärken</w:t>
      </w:r>
    </w:p>
    <w:p>
      <w:r>
        <w:rPr>
          <w:color w:val="5A7D3A"/>
          <w:sz w:val="18"/>
        </w:rPr>
        <w:t>https://pubmed.ncbi.nlm.nih.gov/42889153/</w:t>
      </w:r>
    </w:p>
    <w:p>
      <w:pPr>
        <w:pStyle w:val="Heading2"/>
      </w:pPr>
      <w:r>
        <w:t>Trinkwassersalinität und Hitzestress in Kenia: Protokoll zur Nierenfunktion</w:t>
      </w:r>
    </w:p>
    <w:p>
      <w:r>
        <w:rPr>
          <w:i/>
          <w:color w:val="666666"/>
          <w:sz w:val="18"/>
        </w:rPr>
        <w:t>Rojas AJ Jr et al.  ·  Am J Hum Biol  ·  Okt. 2026  ·  PMID 42865079</w:t>
      </w:r>
    </w:p>
    <w:p>
      <w:r>
        <w:t>Studienprotokoll einer Längsschnittstudie mit 600 Erwachsenen in Kenia zur Untersuchung von Wassersalinität und Hitzestress auf Hydration, Nierenfunktion und kardiovaskuläre Effekte.</w:t>
      </w:r>
    </w:p>
    <w:p>
      <w:r>
        <w:rPr>
          <w:b/>
        </w:rPr>
        <w:t xml:space="preserve">Ergebnis: </w:t>
      </w:r>
      <w:r>
        <w:t>Protokoll für saisonale Datenerfassung (Trockenzeit Juni–Juli, Regenzeit März–April) über sechs Wellen; Messung von Salzgehalt, Doppelt-markiertem Wasser, Point-of-Care und laborgestützten Biomarkern; multilevel-Regression zur Quantifizierung von Salz- und Hitzeffekten auf Hypertonie und chronische Nierenkrankheit geplant.</w:t>
      </w:r>
    </w:p>
    <w:p>
      <w:r>
        <w:rPr>
          <w:b/>
          <w:sz w:val="19"/>
        </w:rPr>
        <w:t xml:space="preserve">Übertragbarkeit: </w:t>
      </w:r>
      <w:r>
        <w:rPr>
          <w:sz w:val="19"/>
        </w:rPr>
        <w:t>Kenia, aride Klimazone; Mechanismen generalisierbar – Deutschland sollte Wassersicherheit überwachen</w:t>
      </w:r>
    </w:p>
    <w:p>
      <w:r>
        <w:rPr>
          <w:color w:val="5A7D3A"/>
          <w:sz w:val="18"/>
        </w:rPr>
        <w:t>https://pubmed.ncbi.nlm.nih.gov/42865079/</w:t>
      </w:r>
    </w:p>
    <w:p>
      <w:pPr>
        <w:pStyle w:val="Heading2"/>
      </w:pPr>
      <w:r>
        <w:t>Hitzeinduzierte Schmerzverarbeitung bei autistischen Personen: Geschlechtsdifferenzen</w:t>
      </w:r>
    </w:p>
    <w:p>
      <w:r>
        <w:rPr>
          <w:i/>
          <w:color w:val="666666"/>
          <w:sz w:val="18"/>
        </w:rPr>
        <w:t>Granovsky Y et al.  ·  Eur J Pain  ·  Okt. 2026  ·  PMID 42860550</w:t>
      </w:r>
    </w:p>
    <w:p>
      <w:r>
        <w:t>Querschnittstudie mit 50 autistischen und 52 typisch entwickelten Erwachsenen zu Schmerzratings und kortikalen Reaktionen (N2-Amplituden) auf kalibrierte Hitzestimuli (52°C).</w:t>
      </w:r>
    </w:p>
    <w:p>
      <w:r>
        <w:rPr>
          <w:b/>
        </w:rPr>
        <w:t xml:space="preserve">Ergebnis: </w:t>
      </w:r>
      <w:r>
        <w:t>Autistische Teilnehmer berichteten höhere Schmerzwerte (p = 0,004) und zeigten niedrigere N2-Amplituden (p = 0,02); signifikante Gruppe×Geschlecht-Wechselwirkung (p &lt; 0,001) mit niedrigsten N2-Amplituden bei autistischen Frauen (p &lt; 0,05); nur bei Frauen: positive Assoziation N2-Amplitude–Schmerzbewertung in Kontrollen (r = 0,734; p = 0,004), nicht in autistischen (r = 0,371; p = 0,192).</w:t>
      </w:r>
    </w:p>
    <w:p>
      <w:r>
        <w:rPr>
          <w:b/>
          <w:sz w:val="19"/>
        </w:rPr>
        <w:t xml:space="preserve">Übertragbarkeit: </w:t>
      </w:r>
      <w:r>
        <w:rPr>
          <w:sz w:val="19"/>
        </w:rPr>
        <w:t>Deutschland, Israel; Hitzeverträglichkeit und vulnerable Subgruppen relevant für Hitzeaktionspläne</w:t>
      </w:r>
    </w:p>
    <w:p>
      <w:r>
        <w:rPr>
          <w:color w:val="5A7D3A"/>
          <w:sz w:val="18"/>
        </w:rPr>
        <w:t>https://pubmed.ncbi.nlm.nih.gov/42860550/</w:t>
      </w:r>
    </w:p>
    <w:p>
      <w:pPr>
        <w:pStyle w:val="Heading1"/>
      </w:pPr>
      <w:r>
        <w:t>Aufgenommen am 18.10.2026</w:t>
      </w:r>
    </w:p>
    <w:p>
      <w:pPr>
        <w:pStyle w:val="Heading2"/>
      </w:pPr>
      <w:r>
        <w:t>Soziale Ungleichheiten in Feinstaubexposition während Smog-Saison</w:t>
      </w:r>
    </w:p>
    <w:p>
      <w:r>
        <w:rPr>
          <w:i/>
          <w:color w:val="666666"/>
          <w:sz w:val="18"/>
        </w:rPr>
        <w:t>Sittitoon N et al.  ·  Front Public Health  ·  01.10.2026  ·  PMID 42889179</w:t>
      </w:r>
    </w:p>
    <w:p>
      <w:r>
        <w:t>Querschnittsstudie in Thailand (n=3916) untersuchte, wie Bildung, soziodemografische Faktoren, Schutzverhalten und Umweltfaktoren die PM2,5-bedingten Symptome während der Haze-Saison beeinflussen.</w:t>
      </w:r>
    </w:p>
    <w:p>
      <w:r>
        <w:rPr>
          <w:b/>
        </w:rPr>
        <w:t xml:space="preserve">Ergebnis: </w:t>
      </w:r>
      <w:r>
        <w:t>Respiratorische Symptome waren am häufigsten (80,7%), gefolgt von Augen- (52,8%), Haut- (48,7%) und neurologischen Symptomen (33,1%). Nicht-kompliante Schutzverhalten waren mit erhöhten Chancen für respiratorische und neurologische Symptome verbunden (vs. kompliante Gruppe); höhere PM2,5-Exposition war unabhängig mit erhöhtem Risiko assoziiert.</w:t>
      </w:r>
    </w:p>
    <w:p>
      <w:r>
        <w:rPr>
          <w:b/>
          <w:sz w:val="19"/>
        </w:rPr>
        <w:t xml:space="preserve">Übertragbarkeit: </w:t>
      </w:r>
      <w:r>
        <w:rPr>
          <w:sz w:val="19"/>
        </w:rPr>
        <w:t>Südostasien mit höheren Temperaturschwellen; Methodik und Ungleichheitsperspektive aber prinzipiell relevant</w:t>
      </w:r>
    </w:p>
    <w:p>
      <w:r>
        <w:rPr>
          <w:color w:val="5A7D3A"/>
          <w:sz w:val="18"/>
        </w:rPr>
        <w:t>https://pubmed.ncbi.nlm.nih.gov/42889179/</w:t>
      </w:r>
    </w:p>
    <w:p>
      <w:pPr>
        <w:pStyle w:val="Heading2"/>
      </w:pPr>
      <w:r>
        <w:t>Dengue-Virus-Infektion: Klimawandel und geografische Ausbreitung</w:t>
      </w:r>
    </w:p>
    <w:p>
      <w:r>
        <w:rPr>
          <w:i/>
          <w:color w:val="666666"/>
          <w:sz w:val="18"/>
        </w:rPr>
        <w:t>Ooi YS et al.  ·  Nat Rev Dis Primers  ·  15.10.2026  ·  PMID 42881211</w:t>
      </w:r>
    </w:p>
    <w:p>
      <w:r>
        <w:t>Übersichtsarbeit zur Dengue-Epidemiologie, Klinik und Management beschreibt den sich durch Klimawandel und erhöhte Mobilität ausbreitenden geografischen Kreis der Erkrankung von urbanen in ländliche und periurbane Gebiete.</w:t>
      </w:r>
    </w:p>
    <w:p>
      <w:r>
        <w:rPr>
          <w:b/>
        </w:rPr>
        <w:t xml:space="preserve">Ergebnis: </w:t>
      </w:r>
      <w:r>
        <w:t>Jährlich erkranken ca. 100 Millionen Menschen an Dengue. Die geografische Verbreitung erweitert sich durch erhöhtes Reiseaufkommen und Klimawandel; Faktor für die Krankheitslast ist der Shift von urbanen Zentren in ländliche Bereiche, was zukünftige klinische Präsenz und Versorgungsbedarf für Deutschland absehbar macht.</w:t>
      </w:r>
    </w:p>
    <w:p>
      <w:r>
        <w:rPr>
          <w:b/>
          <w:sz w:val="19"/>
        </w:rPr>
        <w:t xml:space="preserve">Übertragbarkeit: </w:t>
      </w:r>
      <w:r>
        <w:rPr>
          <w:sz w:val="19"/>
        </w:rPr>
        <w:t>Epidemiologie und Dynamik klimasensitiver Vektorkrankheiten; Management-Prinzipien und Erkennung post-akuter Sequelae relevant</w:t>
      </w:r>
    </w:p>
    <w:p>
      <w:r>
        <w:rPr>
          <w:color w:val="5A7D3A"/>
          <w:sz w:val="18"/>
        </w:rPr>
        <w:t>https://pubmed.ncbi.nlm.nih.gov/42881211/</w:t>
      </w:r>
    </w:p>
    <w:p>
      <w:pPr>
        <w:pStyle w:val="Heading2"/>
      </w:pPr>
      <w:r>
        <w:t>Luftqualitätsveränderungen während COVID-19-Lockdowns in Delhi-Metropolregion</w:t>
      </w:r>
    </w:p>
    <w:p>
      <w:r>
        <w:rPr>
          <w:i/>
          <w:color w:val="666666"/>
          <w:sz w:val="18"/>
        </w:rPr>
        <w:t>Biswas S et al.  ·  Sci Prog  ·  14.10.2026  ·  PMID 42874085</w:t>
      </w:r>
    </w:p>
    <w:p>
      <w:r>
        <w:t>Longitudinale Analyse der Luftqualität (PM2,5, PM10, NOx, SO2, CO, O3) in Delhi-NCR während COVID-19-Lockdown, Wiederöffnung und prä-pandemischer Baseline, mit Fokus auf nichtlineare Dynamiken und Persistenzeffekte.</w:t>
      </w:r>
    </w:p>
    <w:p>
      <w:r>
        <w:rPr>
          <w:b/>
        </w:rPr>
        <w:t xml:space="preserve">Ergebnis: </w:t>
      </w:r>
      <w:r>
        <w:t>Während des Lockdowns stiegen Schadstoffkonzentrationen initial (z. B. PM2,5-Reduktion, dann Rebound), mit mehreren Übergangspunkten. Post-COVID-Luftqualitätsdynamiken blieben stärker mit Lockdown-Bedingungen synchronisiert als mit prä-COVID-Periode, was partielle Persistenz von Verbesserungen anzeigt. Nichtlineare Analyse zeigte veränderte Rekurrenzstrukturen.</w:t>
      </w:r>
    </w:p>
    <w:p>
      <w:r>
        <w:rPr>
          <w:b/>
          <w:sz w:val="19"/>
        </w:rPr>
        <w:t xml:space="preserve">Übertragbarkeit: </w:t>
      </w:r>
      <w:r>
        <w:rPr>
          <w:sz w:val="19"/>
        </w:rPr>
        <w:t>Delhi-Metropolregion (Tropen); Methodologie nichtlinearer dynamischer Systeme und Transitions-Analyse übertragbar</w:t>
      </w:r>
    </w:p>
    <w:p>
      <w:r>
        <w:rPr>
          <w:color w:val="5A7D3A"/>
          <w:sz w:val="18"/>
        </w:rPr>
        <w:t>https://pubmed.ncbi.nlm.nih.gov/42874085/</w:t>
      </w:r>
    </w:p>
    <w:p>
      <w:pPr>
        <w:pStyle w:val="Heading2"/>
      </w:pPr>
      <w:r>
        <w:t>Biomasse-Verbrennung und Feinstaub-Gesundheitsrisiken in Indien</w:t>
      </w:r>
    </w:p>
    <w:p>
      <w:r>
        <w:rPr>
          <w:i/>
          <w:color w:val="666666"/>
          <w:sz w:val="18"/>
        </w:rPr>
        <w:t>Bojjagani S et al.  ·  Environ Monit Assess  ·  14.10.2026  ·  PMID 42873321</w:t>
      </w:r>
    </w:p>
    <w:p>
      <w:r>
        <w:t>Feldstudie in Lucknow (Indien) während des Holika-Dahan-Festivals evaluierte PM2,5-Charakteristika, Quellbeiträge und zurechenbare Gesundheitsrisiken bei residentialen und kommerziellen Standorten in drei Phasen.</w:t>
      </w:r>
    </w:p>
    <w:p>
      <w:r>
        <w:rPr>
          <w:b/>
        </w:rPr>
        <w:t xml:space="preserve">Ergebnis: </w:t>
      </w:r>
      <w:r>
        <w:t>PM2,5-Konzentrationen während Holika Dahan stiegen um Faktor 2,0 (residentiell) bzw. 1,4 (kommerziell) vs. prä-Holika-Baseline. Kanzerogenes Risiko (CR) überschritt EPA-Grenzwerte an beiden Standorten; Peak während Holika-Nacht. Nicht-kanzerogener Hazard Index (HI) blieb unter EPA-Grenzen, aber mit beobachteten Spitzenwerten während des Events.</w:t>
      </w:r>
    </w:p>
    <w:p>
      <w:r>
        <w:rPr>
          <w:b/>
          <w:sz w:val="19"/>
        </w:rPr>
        <w:t xml:space="preserve">Übertragbarkeit: </w:t>
      </w:r>
      <w:r>
        <w:rPr>
          <w:sz w:val="19"/>
        </w:rPr>
        <w:t>Indien – nur die Expositions- und Risikobewertungsmethodik ist übertragbar; absolute Schwellen nicht</w:t>
      </w:r>
    </w:p>
    <w:p>
      <w:r>
        <w:rPr>
          <w:color w:val="5A7D3A"/>
          <w:sz w:val="18"/>
        </w:rPr>
        <w:t>https://pubmed.ncbi.nlm.nih.gov/42873321/</w:t>
      </w:r>
    </w:p>
    <w:p>
      <w:pPr>
        <w:pStyle w:val="Heading2"/>
      </w:pPr>
      <w:r>
        <w:t>Tabakbedingte Sterblichkeit und Krankheitslast in Indien 1990–2023</w:t>
      </w:r>
    </w:p>
    <w:p>
      <w:r>
        <w:rPr>
          <w:i/>
          <w:color w:val="666666"/>
          <w:sz w:val="18"/>
        </w:rPr>
        <w:t>Mandal C et al.  ·  BMJ Open  ·  30.09.2026  ·  PMID 42816088</w:t>
      </w:r>
    </w:p>
    <w:p>
      <w:r>
        <w:t>Deskriptive Analyse der Global Burden of Disease 2023 quantifizierte tabakattribuierbare Todesfälle und Behinderungen-bereinigte Lebensjahre (DALYs) in Indien für 1990 und 2023 nach Geschlecht, Alter und Expositionstyp.</w:t>
      </w:r>
    </w:p>
    <w:p>
      <w:r>
        <w:rPr>
          <w:b/>
        </w:rPr>
        <w:t xml:space="preserve">Ergebnis: </w:t>
      </w:r>
      <w:r>
        <w:t>Tabakattribuierbare Todesfälle stiegen um 54,7 % (von 745,74 tausend 1990 auf 1.153,98 tausend 2023), DALYs um 15,1 % (27,3 auf 31,4 Mio.). Age-standardisierte Raten sanken aber um 39,8 % (Todesfälle) und 47,8 % (DALYs). Rauchen führte 738,8 tausend Todesfälle 2023 an; Kautabak stieg um 153,7 %, Passivrauchen betraf 325,63 tausend Frauen.</w:t>
      </w:r>
    </w:p>
    <w:p>
      <w:r>
        <w:rPr>
          <w:b/>
          <w:sz w:val="19"/>
        </w:rPr>
        <w:t xml:space="preserve">Übertragbarkeit: </w:t>
      </w:r>
      <w:r>
        <w:rPr>
          <w:sz w:val="19"/>
        </w:rPr>
        <w:t>SüdAsien mit anderer Bevölkerungsstruktur; Analysemethodik und Prinzip der Multimorbidität relevant</w:t>
      </w:r>
    </w:p>
    <w:p>
      <w:r>
        <w:rPr>
          <w:color w:val="5A7D3A"/>
          <w:sz w:val="18"/>
        </w:rPr>
        <w:t>https://pubmed.ncbi.nlm.nih.gov/42816088/</w:t>
      </w:r>
    </w:p>
    <w:p>
      <w:pPr>
        <w:pStyle w:val="Heading2"/>
      </w:pPr>
      <w:r>
        <w:t>Luftverschmutzung und Asthmaentwicklung bei Kindern: Endotoxine als Modifikator</w:t>
      </w:r>
    </w:p>
    <w:p>
      <w:r>
        <w:rPr>
          <w:i/>
          <w:color w:val="666666"/>
          <w:sz w:val="18"/>
        </w:rPr>
        <w:t>Zhang L et al.  ·  Environ Res  ·  15.11.2026  ·  PMID 42805479</w:t>
      </w:r>
    </w:p>
    <w:p>
      <w:r>
        <w:t>Kanadas CHILD-Studie untersuchte, ob frühe Exposition gegenüber verkehrsbedingter Luftverschmutzung (NO2) die Asthmaentwicklung und rezidivierendes Keuchen im Kindesalter beeinflusst und wie Innenraum-Endotoxine diese Assoziation verändern.</w:t>
      </w:r>
    </w:p>
    <w:p>
      <w:r>
        <w:rPr>
          <w:b/>
        </w:rPr>
        <w:t xml:space="preserve">Ergebnis: </w:t>
      </w:r>
      <w:r>
        <w:t>NO2-Exposition war mit erhöhtem Asthmarisiko assoziiert (OR 1,36; 95%-KI 1,00–1,84) und rezidivierendem Keuchen (OR 1,34; 95%-KI 1,10–1,64) pro 10 ppb Anstieg. Die Assoziation war signifikant stärker bei hoher Endotoxin-Exposition (OR 3,25; 95%-KI 1,29–8,15), was auf eine Interaktion hindeutet.</w:t>
      </w:r>
    </w:p>
    <w:p>
      <w:r>
        <w:rPr>
          <w:b/>
          <w:sz w:val="19"/>
        </w:rPr>
        <w:t xml:space="preserve">Übertragbarkeit: </w:t>
      </w:r>
      <w:r>
        <w:rPr>
          <w:sz w:val="19"/>
        </w:rPr>
        <w:t>Kanada, gemäßigte Klimazone, vergleichbares Versorgungssystem; Methodik und Interaktionsprinzip relevant für Deutschland</w:t>
      </w:r>
    </w:p>
    <w:p>
      <w:r>
        <w:rPr>
          <w:color w:val="5A7D3A"/>
          <w:sz w:val="18"/>
        </w:rPr>
        <w:t>https://pubmed.ncbi.nlm.nih.gov/42805479/</w:t>
      </w:r>
    </w:p>
    <w:p>
      <w:pPr>
        <w:pStyle w:val="Heading1"/>
      </w:pPr>
      <w:r>
        <w:t>Aufgenommen am 17.10.2026</w:t>
      </w:r>
    </w:p>
    <w:p>
      <w:pPr>
        <w:pStyle w:val="Heading2"/>
      </w:pPr>
      <w:r>
        <w:t>Klimawandel und Gesundheit indigener Kinder – systematische Übersicht</w:t>
      </w:r>
    </w:p>
    <w:p>
      <w:r>
        <w:rPr>
          <w:i/>
          <w:color w:val="666666"/>
          <w:sz w:val="18"/>
        </w:rPr>
        <w:t>Turnbull JJ et al.  ·  Global Health  ·  30.09.2026  ·  PMID 42881393</w:t>
      </w:r>
    </w:p>
    <w:p>
      <w:r>
        <w:t>Systematische Übersicht (53 Studien) der globalen Evidenz zu klimabezogenen Gesundheitsfolgen bei indigenen Kindern und Schwangeren, mit Analyse von Expositions-Ergebnis-Mustern.</w:t>
      </w:r>
    </w:p>
    <w:p>
      <w:r>
        <w:rPr>
          <w:b/>
        </w:rPr>
        <w:t xml:space="preserve">Ergebnis: </w:t>
      </w:r>
      <w:r>
        <w:t>Fünf Hauptgesundheitsfolgen identifiziert: (1) psychosoziales und kulturelles Wohlbefinden, (2) Unterernährung, (3) Infektionskrankheiten, (4) perinatale Gesundheit, (5) Morbidität und Mortalität. Hitzeexposition und hydroklimatische Variabilität waren die häufigsten Klimafaktoren. Psychosoziales Wohlbefinden war das querschnittlichste Thema, verbunden mit allen anderen Gesundheitsbereichen.</w:t>
      </w:r>
    </w:p>
    <w:p>
      <w:r>
        <w:rPr>
          <w:b/>
          <w:sz w:val="19"/>
        </w:rPr>
        <w:t xml:space="preserve">Übertragbarkeit: </w:t>
      </w:r>
      <w:r>
        <w:rPr>
          <w:sz w:val="19"/>
        </w:rPr>
        <w:t>Globale, diverse Populationen; Methodische und konzeptuelle Übertragbarkeit für vulnerable Gruppen in Deutschland begrenzt.</w:t>
      </w:r>
    </w:p>
    <w:p>
      <w:r>
        <w:rPr>
          <w:color w:val="5A7D3A"/>
          <w:sz w:val="18"/>
        </w:rPr>
        <w:t>https://pubmed.ncbi.nlm.nih.gov/42881393/</w:t>
      </w:r>
    </w:p>
    <w:p>
      <w:pPr>
        <w:pStyle w:val="Heading2"/>
      </w:pPr>
      <w:r>
        <w:t>Hitzeschlag: Pathogenese und kritische Versorgung</w:t>
      </w:r>
    </w:p>
    <w:p>
      <w:r>
        <w:rPr>
          <w:i/>
          <w:color w:val="666666"/>
          <w:sz w:val="18"/>
        </w:rPr>
        <w:t>Huang Y et al.  ·  Zhonghua Wei Zhong Bing Ji Jiu Yi Xue  ·  Sept. 2026  ·  PMID 42875250</w:t>
      </w:r>
    </w:p>
    <w:p>
      <w:r>
        <w:t>Analyse der Pathophysiologie des Hitzeschlags als lebensbedrohliches Syndrom mit Körperkerntemperatur &gt;40°C und Multiorganversagen vor dem Hintergrund zunehmender Hitzeextremeereignisse.</w:t>
      </w:r>
    </w:p>
    <w:p>
      <w:r>
        <w:rPr>
          <w:b/>
        </w:rPr>
        <w:t xml:space="preserve">Ergebnis: </w:t>
      </w:r>
      <w:r>
        <w:t>Der Hitzeschlag wird als schwerste Form hitzebezogener Erkrankungen charakterisiert, mit hohen Raten schwerer Erkrankung und Mortalität. Die Studie beschreibt den Kontinuum-Charakter der Progression von milder Hitzeerkrankung zum kritischen Hitzeschlag mit Zentralnervensystem-Störungen (veränderte mentale Zustände, Anfälle, Koma) und Multiorganschäden.</w:t>
      </w:r>
    </w:p>
    <w:p>
      <w:r>
        <w:rPr>
          <w:b/>
          <w:sz w:val="19"/>
        </w:rPr>
        <w:t xml:space="preserve">Übertragbarkeit: </w:t>
      </w:r>
      <w:r>
        <w:rPr>
          <w:sz w:val="19"/>
        </w:rPr>
        <w:t>Pathophysiologische Konzepte gelten in gemäßigten Klimazonen; China, Grundlagen für klinische Entscheidungsfindung.</w:t>
      </w:r>
    </w:p>
    <w:p>
      <w:r>
        <w:rPr>
          <w:color w:val="5A7D3A"/>
          <w:sz w:val="18"/>
        </w:rPr>
        <w:t>https://pubmed.ncbi.nlm.nih.gov/42875250/</w:t>
      </w:r>
    </w:p>
    <w:p>
      <w:pPr>
        <w:pStyle w:val="Heading2"/>
      </w:pPr>
      <w:r>
        <w:t>Luftreinigung und Antibiotika-Resistenz in Innenräumen</w:t>
      </w:r>
    </w:p>
    <w:p>
      <w:r>
        <w:rPr>
          <w:i/>
          <w:color w:val="666666"/>
          <w:sz w:val="18"/>
        </w:rPr>
        <w:t>Mondéjar L et al.  ·  Front Public Health  ·  28.09.2026  ·  PMID 42865742</w:t>
      </w:r>
    </w:p>
    <w:p>
      <w:r>
        <w:t>Bewertung der Wirksamkeit portabler Luftreinigungssysteme auf kultivierbare Bakterien und Antibiotikaresistenzprofile in Büros (Valencia) und Schulklassen (Dublin) vor und nach Intervention.</w:t>
      </w:r>
    </w:p>
    <w:p>
      <w:r>
        <w:rPr>
          <w:b/>
        </w:rPr>
        <w:t xml:space="preserve">Ergebnis: </w:t>
      </w:r>
      <w:r>
        <w:t>In Büroräumen reduzierte sich die Anzahl airborne Isolate von 41 auf 5 nach Luftreinigung. Resistenzgene waren danach nicht nachweisbar. In Schulräumen sank die Zahl airborne Isolate von 102 auf 47 und die Resistenzprävalenz von 43 % auf 21 %. Oberflächenassoziierte Mikrobiota blieb stabiler. Die Luftreinigung reduzierte signifikant airborne bakterielle Besiedlung und Antibiotikaresistenzlast.</w:t>
      </w:r>
    </w:p>
    <w:p>
      <w:r>
        <w:rPr>
          <w:b/>
          <w:sz w:val="19"/>
        </w:rPr>
        <w:t xml:space="preserve">Übertragbarkeit: </w:t>
      </w:r>
      <w:r>
        <w:rPr>
          <w:sz w:val="19"/>
        </w:rPr>
        <w:t>Spanien und Irland, europäische Klimazonen; direkt anwendbar für deutsche Schulen und Büroräume.</w:t>
      </w:r>
    </w:p>
    <w:p>
      <w:r>
        <w:rPr>
          <w:color w:val="5A7D3A"/>
          <w:sz w:val="18"/>
        </w:rPr>
        <w:t>https://pubmed.ncbi.nlm.nih.gov/42865742/</w:t>
      </w:r>
    </w:p>
    <w:p>
      <w:pPr>
        <w:pStyle w:val="Heading2"/>
      </w:pPr>
      <w:r>
        <w:t>Stickstoffoxide und COVID-19-Fälle in Oklahoma</w:t>
      </w:r>
    </w:p>
    <w:p>
      <w:r>
        <w:rPr>
          <w:i/>
          <w:color w:val="666666"/>
          <w:sz w:val="18"/>
        </w:rPr>
        <w:t>Nair RR et al.  ·  J Infect Public Health  ·  09.10.2026  ·  PMID 42863447</w:t>
      </w:r>
    </w:p>
    <w:p>
      <w:r>
        <w:t>Analyse von Stickstoffdioxid (NO₂)-Konzentrationen und COVID-19-Fallzahlen auf County-Ebene in Oklahoma (2020–2022) mittels statistischer Regressionsmodelle zur Erfassung nichtlinearer Assoziationen.</w:t>
      </w:r>
    </w:p>
    <w:p>
      <w:r>
        <w:rPr>
          <w:b/>
        </w:rPr>
        <w:t xml:space="preserve">Ergebnis: </w:t>
      </w:r>
      <w:r>
        <w:t>Unter kontrollierten Modellen (Bevölkerungsdichte, County-Fläche, Anteil älterer Menschen) zeigte NO₂ die stärkste Korrelation mit COVID-19-Fallzahlen. NO₂ hatte die ausgeprägteste Assoziation bei Bevölkerungsdichte-Werten zwischen 48–75. Kohlenmonoxid zeigte signifikante negative lineare Assoziation. Population Density war der stärkste Confounder insgesamt.</w:t>
      </w:r>
    </w:p>
    <w:p>
      <w:r>
        <w:rPr>
          <w:b/>
          <w:sz w:val="19"/>
        </w:rPr>
        <w:t xml:space="preserve">Übertragbarkeit: </w:t>
      </w:r>
      <w:r>
        <w:rPr>
          <w:sz w:val="19"/>
        </w:rPr>
        <w:t>USA, Midwest; begrenzt auf regionale Luftqualität und Methodik, Bevölkerungsstruktur unterscheidet sich von Deutschland.</w:t>
      </w:r>
    </w:p>
    <w:p>
      <w:r>
        <w:rPr>
          <w:color w:val="5A7D3A"/>
          <w:sz w:val="18"/>
        </w:rPr>
        <w:t>https://pubmed.ncbi.nlm.nih.gov/42863447/</w:t>
      </w:r>
    </w:p>
    <w:p>
      <w:pPr>
        <w:pStyle w:val="Heading2"/>
      </w:pPr>
      <w:r>
        <w:t>Wasserqualität während COVID-19-Lockdown: Anthropopause-Effekte in Griechenland</w:t>
      </w:r>
    </w:p>
    <w:p>
      <w:r>
        <w:rPr>
          <w:i/>
          <w:color w:val="666666"/>
          <w:sz w:val="18"/>
        </w:rPr>
        <w:t>Theodoropoulou M et al.  ·  Environ Monit Assess  ·  06.10.2026  ·  PMID 42837016</w:t>
      </w:r>
    </w:p>
    <w:p>
      <w:r>
        <w:t>Analyse von Grundwasserqualität in einem Agrargebiet während COVID-19-Lockdown (2018–2022) mit Vergleich der Wasserbeschaffenheit vor, während und nach der Anthropopause.</w:t>
      </w:r>
    </w:p>
    <w:p>
      <w:r>
        <w:rPr>
          <w:b/>
        </w:rPr>
        <w:t xml:space="preserve">Ergebnis: </w:t>
      </w:r>
      <w:r>
        <w:t>Während der Anthropopause (Lockdown) zeigten sich signifikante Reduktionen von NO₃⁻, Cl⁻ und elektrischer Leitfähigkeit (EC), was auf verbesserte Grundwasserqualität hinweist. Nach Anstieg des Tourismus verschlechterte sich die Wasserqualität wieder. Die Ergebnisse zeigen, dass Reduktion menschlicher Aktivitäten positive Effekte auf natürliche Prozesse hat und unterstreichen die Notwendigkeit systematischer räumlich-zeitlicher Überwachung.</w:t>
      </w:r>
    </w:p>
    <w:p>
      <w:r>
        <w:rPr>
          <w:b/>
          <w:sz w:val="19"/>
        </w:rPr>
        <w:t xml:space="preserve">Übertragbarkeit: </w:t>
      </w:r>
      <w:r>
        <w:rPr>
          <w:sz w:val="19"/>
        </w:rPr>
        <w:t>Südeuropa, Mittelmeerregion; Konzepte für Umweltüberwachung und Wassergüte-Management übertragbar.</w:t>
      </w:r>
    </w:p>
    <w:p>
      <w:r>
        <w:rPr>
          <w:color w:val="5A7D3A"/>
          <w:sz w:val="18"/>
        </w:rPr>
        <w:t>https://pubmed.ncbi.nlm.nih.gov/42837016/</w:t>
      </w:r>
    </w:p>
    <w:p>
      <w:pPr>
        <w:pStyle w:val="Heading2"/>
      </w:pPr>
      <w:r>
        <w:t>Schulische Gesundheitsschutzstrategien bei Hitze- und Waldbrandextremen</w:t>
      </w:r>
    </w:p>
    <w:p>
      <w:r>
        <w:rPr>
          <w:i/>
          <w:color w:val="666666"/>
          <w:sz w:val="18"/>
        </w:rPr>
        <w:t>Sager T  ·  NASN Sch Nurse  ·  29.09.2026  ·  PMID 42808579</w:t>
      </w:r>
    </w:p>
    <w:p>
      <w:r>
        <w:t>Qualitative Analyse der Rolle von Schulkrankenpflegefachpersonen in der Anpassung von Schulen an zunehmende Hitze- und Waldbrandereignisse durch Notfallplanung, Risikokoordinierung und Schutzmaßnahmen.</w:t>
      </w:r>
    </w:p>
    <w:p>
      <w:r>
        <w:rPr>
          <w:b/>
        </w:rPr>
        <w:t xml:space="preserve">Ergebnis: </w:t>
      </w:r>
      <w:r>
        <w:t>Schulkrankenpflegefachpersonen sind als Schnittstelle zwischen Gesundheitswesen und Bildung positioniert, um Schulen bei der Bewältigung von Hitze- und Wildfeuer-Expositionen zu unterstützen. Besonders gefährdet sind Schüler mit Asthma oder chronischen Erkrankungen sowie Personal mit bestehenden Gesundheitsproblemen. Ein Preparedness-Response-Recovery-Rahmen wird empfohlen.</w:t>
      </w:r>
    </w:p>
    <w:p>
      <w:r>
        <w:rPr>
          <w:b/>
          <w:sz w:val="19"/>
        </w:rPr>
        <w:t xml:space="preserve">Übertragbarkeit: </w:t>
      </w:r>
      <w:r>
        <w:rPr>
          <w:sz w:val="19"/>
        </w:rPr>
        <w:t>USA, Klimazone und Schulstruktur teilweise übertragbar; Konzepte für deutsche Schulen adaptierbar.</w:t>
      </w:r>
    </w:p>
    <w:p>
      <w:r>
        <w:rPr>
          <w:color w:val="5A7D3A"/>
          <w:sz w:val="18"/>
        </w:rPr>
        <w:t>https://pubmed.ncbi.nlm.nih.gov/42808579/</w:t>
      </w:r>
    </w:p>
    <w:p>
      <w:pPr>
        <w:pStyle w:val="Heading1"/>
      </w:pPr>
      <w:r>
        <w:t>Aufgenommen am 16.10.2026</w:t>
      </w:r>
    </w:p>
    <w:p>
      <w:pPr>
        <w:pStyle w:val="Heading2"/>
      </w:pPr>
      <w:r>
        <w:t>Validierung von Luftqualitäts-Frühwarnsystemen in Südostasien</w:t>
      </w:r>
    </w:p>
    <w:p>
      <w:r>
        <w:rPr>
          <w:i/>
          <w:color w:val="666666"/>
          <w:sz w:val="18"/>
        </w:rPr>
        <w:t>Mahawar C et al.  ·  Front Public Health  ·  30.09.2026  ·  PMID 42877354</w:t>
      </w:r>
    </w:p>
    <w:p>
      <w:r>
        <w:t>Systematischer Review evaluierte die Vorhersagegenauigkeit verfügbarer Luftqualitäts-Frühwarnsysteme in 14 Studien aus Indien, Bangladesch und Thailand.</w:t>
      </w:r>
    </w:p>
    <w:p>
      <w:r>
        <w:rPr>
          <w:b/>
        </w:rPr>
        <w:t xml:space="preserve">Ergebnis: </w:t>
      </w:r>
      <w:r>
        <w:t>Hybrid-Deep-Learning-Modelle zeigten niedrigste RMSE (0,84–4,61 μg/m³) und höchste erklärte Varianz (R² bis 0,998). Machine-Learning erreichte bis 98,34% kategoriale Genauigkeit. Allerdings: hohes Bias-Risiko durch unzureichende externe Validierung und Overfitting in den meisten Studien.</w:t>
      </w:r>
    </w:p>
    <w:p>
      <w:r>
        <w:rPr>
          <w:b/>
          <w:sz w:val="19"/>
        </w:rPr>
        <w:t xml:space="preserve">Übertragbarkeit: </w:t>
      </w:r>
      <w:r>
        <w:rPr>
          <w:sz w:val="19"/>
        </w:rPr>
        <w:t>Nur Methodik übertragbar: Südasien hat andere Anpassungskapazität und Temperaturschwellen; externe Validierung essentiell für Systemzuverlässigkeit.</w:t>
      </w:r>
    </w:p>
    <w:p>
      <w:r>
        <w:rPr>
          <w:color w:val="5A7D3A"/>
          <w:sz w:val="18"/>
        </w:rPr>
        <w:t>https://pubmed.ncbi.nlm.nih.gov/42877354/</w:t>
      </w:r>
    </w:p>
    <w:p>
      <w:pPr>
        <w:pStyle w:val="Heading2"/>
      </w:pPr>
      <w:r>
        <w:t>Hitzeadaptation bei Großsportevents: Koordination und Frühwarnsysteme</w:t>
      </w:r>
    </w:p>
    <w:p>
      <w:r>
        <w:rPr>
          <w:i/>
          <w:color w:val="666666"/>
          <w:sz w:val="18"/>
        </w:rPr>
        <w:t>Zhang J et al.  ·  Front Public Health  ·  30.09.2026  ·  PMID 42877216</w:t>
      </w:r>
    </w:p>
    <w:p>
      <w:r>
        <w:t>Mathematisches Spieltheorie-Modell untersuchte optimale Koordination und Finanzierung von Hitzerisiko-Minderungsmaßnahmen zwischen Behörden, Veranstaltern und Teams.</w:t>
      </w:r>
    </w:p>
    <w:p>
      <w:r>
        <w:rPr>
          <w:b/>
        </w:rPr>
        <w:t xml:space="preserve">Ergebnis: </w:t>
      </w:r>
      <w:r>
        <w:t>Kooperation senkte modellierte Soziallast um 21,9% gegenüber Nash-Gleichgewicht und um 23,1% gegenüber Hierarchie-Lösung. Spitzenwert des residualen Hitzerisikos fiel um 28,0–28,7%. Effektives Vorwarnfenster lag bei 2,2–2,6 Zeiteinheiten.</w:t>
      </w:r>
    </w:p>
    <w:p>
      <w:r>
        <w:rPr>
          <w:b/>
          <w:sz w:val="19"/>
        </w:rPr>
        <w:t xml:space="preserve">Übertragbarkeit: </w:t>
      </w:r>
      <w:r>
        <w:rPr>
          <w:sz w:val="19"/>
        </w:rPr>
        <w:t>Modellstudie China: Methodik auf Großveranstaltungen weltweit anwendbar, Koordinationsprinzipien klimazonenunabhängig.</w:t>
      </w:r>
    </w:p>
    <w:p>
      <w:r>
        <w:rPr>
          <w:color w:val="5A7D3A"/>
          <w:sz w:val="18"/>
        </w:rPr>
        <w:t>https://pubmed.ncbi.nlm.nih.gov/42877216/</w:t>
      </w:r>
    </w:p>
    <w:p>
      <w:pPr>
        <w:pStyle w:val="Heading2"/>
      </w:pPr>
      <w:r>
        <w:t>Schulungsbedarf für Planetary Health in Italien</w:t>
      </w:r>
    </w:p>
    <w:p>
      <w:r>
        <w:rPr>
          <w:i/>
          <w:color w:val="666666"/>
          <w:sz w:val="18"/>
        </w:rPr>
        <w:t>Panariello F et al.  ·  Front Public Health  ·  30.09.2026  ·  PMID 42876801</w:t>
      </w:r>
    </w:p>
    <w:p>
      <w:r>
        <w:t>Explorative Befragung von 14 italienischen Institutionen (66,7% Antwortquote) zu Fortbildungsbedarfen im Bereich Umwelt- und Gesundheit.</w:t>
      </w:r>
    </w:p>
    <w:p>
      <w:r>
        <w:rPr>
          <w:b/>
        </w:rPr>
        <w:t xml:space="preserve">Ergebnis: </w:t>
      </w:r>
      <w:r>
        <w:t>Hauptbedarfe waren: Verständnis für Pollutionseffekte auf Gesundheit (78,6%), Stakeholder-Engagement (64,3%), fortgeschrittene Umweltepidemiologie (57,1%). Bevorzugte Formate: Seminare (78,6%), spezialisierte Kurzkurse (71,4%), Online-Lernen (50%).</w:t>
      </w:r>
    </w:p>
    <w:p>
      <w:r>
        <w:rPr>
          <w:b/>
          <w:sz w:val="19"/>
        </w:rPr>
        <w:t xml:space="preserve">Übertragbarkeit: </w:t>
      </w:r>
      <w:r>
        <w:rPr>
          <w:sz w:val="19"/>
        </w:rPr>
        <w:t>Italien: Direkter Bezug zu deutschsprachigen Institutionen, EU-Kontext, Prioritäten für Ausbildungsstrukturen übertragbar.</w:t>
      </w:r>
    </w:p>
    <w:p>
      <w:r>
        <w:rPr>
          <w:color w:val="5A7D3A"/>
          <w:sz w:val="18"/>
        </w:rPr>
        <w:t>https://pubmed.ncbi.nlm.nih.gov/42876801/</w:t>
      </w:r>
    </w:p>
    <w:p>
      <w:pPr>
        <w:pStyle w:val="Heading2"/>
      </w:pPr>
      <w:r>
        <w:t>Temperaturvariabilität und Zahngesundheit in der EU</w:t>
      </w:r>
    </w:p>
    <w:p>
      <w:r>
        <w:rPr>
          <w:i/>
          <w:color w:val="666666"/>
          <w:sz w:val="18"/>
        </w:rPr>
        <w:t>Lupita C et al.  ·  Front Public Health  ·  30.09.2026  ·  PMID 42876755</w:t>
      </w:r>
    </w:p>
    <w:p>
      <w:r>
        <w:t>Ökologische Panel-Analyse in 27 EU-Ländern 2016–2023 untersuchte Assoziationen zwischen Jahrestemperatur, Hitzetagen und Karies-, Parodontal- und Zahnversorgungsergebnissen.</w:t>
      </w:r>
    </w:p>
    <w:p>
      <w:r>
        <w:rPr>
          <w:b/>
        </w:rPr>
        <w:t xml:space="preserve">Ergebnis: </w:t>
      </w:r>
      <w:r>
        <w:t>Weder mittlere Jahrestemperatur noch Extremhitzeereignisse waren signifikant mit den Outcome-Variablen assoziiert (R² 0,032–0,056). Wild-Cluster-Bootstrap-Tests bestätigten Nullassoziationen auf 5%-Niveau. Nicht-lineare und Interaktionsterme waren ebenfalls nicht signifikant.</w:t>
      </w:r>
    </w:p>
    <w:p>
      <w:r>
        <w:rPr>
          <w:b/>
          <w:sz w:val="19"/>
        </w:rPr>
        <w:t xml:space="preserve">Übertragbarkeit: </w:t>
      </w:r>
      <w:r>
        <w:rPr>
          <w:sz w:val="19"/>
        </w:rPr>
        <w:t>27 EU-Länder inklusive Deutschland: Zeigt Grenzen kurzfristiger Klimavariabilität für Zahngesundheit auf; längere Paneldaten und räumlich aufgelöste Exposuremaße nötig.</w:t>
      </w:r>
    </w:p>
    <w:p>
      <w:r>
        <w:rPr>
          <w:color w:val="5A7D3A"/>
          <w:sz w:val="18"/>
        </w:rPr>
        <w:t>https://pubmed.ncbi.nlm.nih.gov/42876755/</w:t>
      </w:r>
    </w:p>
    <w:p>
      <w:pPr>
        <w:pStyle w:val="Heading2"/>
      </w:pPr>
      <w:r>
        <w:t>Verkehrsemissionen und Neuroinflammation im Vordemenzstadium</w:t>
      </w:r>
    </w:p>
    <w:p>
      <w:r>
        <w:rPr>
          <w:i/>
          <w:color w:val="666666"/>
          <w:sz w:val="18"/>
        </w:rPr>
        <w:t>Vilor-Tejedor N et al.  ·  Alzheimers Dement  ·  Okt. 2026  ·  PMID 42872554</w:t>
      </w:r>
    </w:p>
    <w:p>
      <w:r>
        <w:t>Longitudinale Kohorte mit 226 kognitiv Unauffälligen untersuchte über 3 Jahre die Assoziationen zwischen NO2-, PM10- und PM2.5-Exposition und zerebrospinalen Biomarkern.</w:t>
      </w:r>
    </w:p>
    <w:p>
      <w:r>
        <w:rPr>
          <w:b/>
        </w:rPr>
        <w:t xml:space="preserve">Ergebnis: </w:t>
      </w:r>
      <w:r>
        <w:t>Höhere Luftverschmutzung war mit longitudinalen Anstiegen von Glial Fibrillary Acidic Protein (GFAP) und IL-6 assoziiert, primär bei Frauen. GFAP vermittelte teilweise die Assoziation zwischen Schadstoffexposition und Verschlechterung der exekutiven Funktion.</w:t>
      </w:r>
    </w:p>
    <w:p>
      <w:r>
        <w:rPr>
          <w:b/>
          <w:sz w:val="19"/>
        </w:rPr>
        <w:t xml:space="preserve">Übertragbarkeit: </w:t>
      </w:r>
      <w:r>
        <w:rPr>
          <w:sz w:val="19"/>
        </w:rPr>
        <w:t>Spanien/Niederlande: Barcelona-Kohorte, europäische Methodik und Klimazone, technisch hochwertig.</w:t>
      </w:r>
    </w:p>
    <w:p>
      <w:r>
        <w:rPr>
          <w:color w:val="5A7D3A"/>
          <w:sz w:val="18"/>
        </w:rPr>
        <w:t>https://pubmed.ncbi.nlm.nih.gov/42872554/</w:t>
      </w:r>
    </w:p>
    <w:p>
      <w:pPr>
        <w:pStyle w:val="Heading2"/>
      </w:pPr>
      <w:r>
        <w:t>Luftverschmutzung und Atemwegserkrankungen im Säuglingsalter</w:t>
      </w:r>
    </w:p>
    <w:p>
      <w:r>
        <w:rPr>
          <w:i/>
          <w:color w:val="666666"/>
          <w:sz w:val="18"/>
        </w:rPr>
        <w:t>Gómez-Olarte S et al.  ·  Environ Pollut  ·  15.11.2026  ·  PMID 42680050</w:t>
      </w:r>
    </w:p>
    <w:p>
      <w:r>
        <w:t>Studie untersuchte in 606 Einjährigen die Assoziation zwischen PM2.5-, PM10- und NO2-Exposition und Bronchitis sowie Entzündungsmarker.</w:t>
      </w:r>
    </w:p>
    <w:p>
      <w:r>
        <w:rPr>
          <w:b/>
        </w:rPr>
        <w:t xml:space="preserve">Ergebnis: </w:t>
      </w:r>
      <w:r>
        <w:t>PM2.5-Exposition war bei Jungen mit erhöhter Bronchitis-Odds assoziiert (aOR 1,50, 95%-KI 1,02–2,23) und bei beiden Geschlechtern mit erhöhten IL-8-Konzentrationen verbunden (Jungen +23,8%, Mädchen +31,9%). Bei hohen Schadstoffkonzentrationen (≥60. Perzentil) zeigten sich positive Assoziationen mit IL-8 und TNF-α.</w:t>
      </w:r>
    </w:p>
    <w:p>
      <w:r>
        <w:rPr>
          <w:b/>
          <w:sz w:val="19"/>
        </w:rPr>
        <w:t xml:space="preserve">Übertragbarkeit: </w:t>
      </w:r>
      <w:r>
        <w:rPr>
          <w:sz w:val="19"/>
        </w:rPr>
        <w:t>Deutschland: Studie aus Leipzig, vergleichbare gemäßigte Klimazone und Versorgungsstruktur.</w:t>
      </w:r>
    </w:p>
    <w:p>
      <w:r>
        <w:rPr>
          <w:color w:val="5A7D3A"/>
          <w:sz w:val="18"/>
        </w:rPr>
        <w:t>https://pubmed.ncbi.nlm.nih.gov/42680050/</w:t>
      </w:r>
    </w:p>
    <w:p>
      <w:pPr>
        <w:pStyle w:val="Heading1"/>
      </w:pPr>
      <w:r>
        <w:t>Aufgenommen am 15.10.2026</w:t>
      </w:r>
    </w:p>
    <w:p>
      <w:pPr>
        <w:pStyle w:val="Heading2"/>
      </w:pPr>
      <w:r>
        <w:t>Laktat als Marker für Gerinnungskomplikationen bei Hitzschlag</w:t>
      </w:r>
    </w:p>
    <w:p>
      <w:r>
        <w:rPr>
          <w:i/>
          <w:color w:val="666666"/>
          <w:sz w:val="18"/>
        </w:rPr>
        <w:t>Liu F et al.  ·  Zhonghua Wei Zhong Bing Ji Jiu Yi Xue  ·  Sept. 2026  ·  PMID 42875244</w:t>
      </w:r>
    </w:p>
    <w:p>
      <w:r>
        <w:t>Multicenter-Kohortenstudie mit 305 Hitzschlag-Patienten untersuchte die Beziehung zwischen Serumlaktat und disseminierter intravaskulärer Gerinnung (DIC).</w:t>
      </w:r>
    </w:p>
    <w:p>
      <w:r>
        <w:rPr>
          <w:b/>
        </w:rPr>
        <w:t xml:space="preserve">Ergebnis: </w:t>
      </w:r>
      <w:r>
        <w:t>Erhöhte Laktatspiegel waren unabhängig mit erhöhtem DIC-Risiko assoziiert (OR 1,815; 95%-KI 1,494–2,203; p &lt; 0,001). Das Laktat-basierte Vorhersagemodell zeigte exzellente Diskriminationsfähigkeit (AUC 0,901; 95%-KI 0,860–0,941) mit Sensitivität 85,6 % und Spezifität 81,6 %. Laktat vermittelte 16,29 % der Beziehung zwischen Körpertemperatur und DIC.</w:t>
      </w:r>
    </w:p>
    <w:p>
      <w:r>
        <w:rPr>
          <w:b/>
          <w:sz w:val="19"/>
        </w:rPr>
        <w:t xml:space="preserve">Übertragbarkeit: </w:t>
      </w:r>
      <w:r>
        <w:rPr>
          <w:sz w:val="19"/>
        </w:rPr>
        <w:t>China; klinisch-intensivmedizinische Perspektive auf Hitzeschlag-Pathophysiologie übertragbar</w:t>
      </w:r>
    </w:p>
    <w:p>
      <w:r>
        <w:rPr>
          <w:color w:val="5A7D3A"/>
          <w:sz w:val="18"/>
        </w:rPr>
        <w:t>https://pubmed.ncbi.nlm.nih.gov/42875244/</w:t>
      </w:r>
    </w:p>
    <w:p>
      <w:pPr>
        <w:pStyle w:val="Heading2"/>
      </w:pPr>
      <w:r>
        <w:t>Von Fledermäusen übertragene Zoonosen: Klimawandel und Spillover-Risiken</w:t>
      </w:r>
    </w:p>
    <w:p>
      <w:r>
        <w:rPr>
          <w:i/>
          <w:color w:val="666666"/>
          <w:sz w:val="18"/>
        </w:rPr>
        <w:t>Stanhope J et al.  ·  BMJ  ·  14.10.2026  ·  PMID 42875048</w:t>
      </w:r>
    </w:p>
    <w:p>
      <w:r>
        <w:t>Narrative Review der evidenzgestützten Übertragungswege, klinischen Auswirkungen und Präventionsstrategien für Fledermaus-assoziierte Pathogene (Ebola, Marburg, Nipah, Hendra, Tollwut, australisches Lyssavirus, Histoplasma).</w:t>
      </w:r>
    </w:p>
    <w:p>
      <w:r>
        <w:rPr>
          <w:b/>
        </w:rPr>
        <w:t xml:space="preserve">Ergebnis: </w:t>
      </w:r>
      <w:r>
        <w:t>Klimawandel und Biodiversitätsverlust treiben das Spillover-Risiko von sieben bedeutenden human-pathogenen Erregern. Überlebende berichten anhaltende neurologische und neuropsychiatrische Langzeitfolgen. Präventionsstrategien umfassen ökologische Stewardship, Reduktion der Exposition von Mensch und Haustieren, Isolation Infizierter und Vakzination; für Histoplasma und Ebolavirus sind nun spezifische Therapeutika verfügbar.</w:t>
      </w:r>
    </w:p>
    <w:p>
      <w:r>
        <w:rPr>
          <w:b/>
          <w:sz w:val="19"/>
        </w:rPr>
        <w:t xml:space="preserve">Übertragbarkeit: </w:t>
      </w:r>
      <w:r>
        <w:rPr>
          <w:sz w:val="19"/>
        </w:rPr>
        <w:t>Review; Prinzipien der Zoonose-Prävention und Klimaadaptation klimazonenübergreifend relevant</w:t>
      </w:r>
    </w:p>
    <w:p>
      <w:r>
        <w:rPr>
          <w:color w:val="5A7D3A"/>
          <w:sz w:val="18"/>
        </w:rPr>
        <w:t>https://pubmed.ncbi.nlm.nih.gov/42875048/</w:t>
      </w:r>
    </w:p>
    <w:p>
      <w:pPr>
        <w:pStyle w:val="Heading2"/>
      </w:pPr>
      <w:r>
        <w:t>Globale Coexposition gegenüber Hitzewellen und Waldbrandrauch nimmt zu</w:t>
      </w:r>
    </w:p>
    <w:p>
      <w:r>
        <w:rPr>
          <w:i/>
          <w:color w:val="666666"/>
          <w:sz w:val="18"/>
        </w:rPr>
        <w:t>Wu Y et al.  ·  Sci Adv  ·  16.10.2026  ·  PMID 42873846</w:t>
      </w:r>
    </w:p>
    <w:p>
      <w:r>
        <w:t>Die Studie quantifiziert die weltweite Bevölkerung, die gleichzeitig Hitzewellen und Luftverschmutzung aus Waldbränden ausgesetzt ist, über den Zeitraum 2000–2019.</w:t>
      </w:r>
    </w:p>
    <w:p>
      <w:r>
        <w:rPr>
          <w:b/>
        </w:rPr>
        <w:t xml:space="preserve">Ergebnis: </w:t>
      </w:r>
      <w:r>
        <w:t>52,4 % der bevölkerten Gebiete und 55,9 % der Weltbevölkerung erlebten steigende Coexposition. Im Durchschnitt waren 916 Millionen Menschen pro Jahr mindestens einen Tag betroffen, mit Anstieg um 287 Millionen pro Jahrzehnt. Die durchschnittliche Expositionsdauer pro Person stieg von 1,0 Tagen (2000–2009) auf 1,7 Tage (2010–2019). Länder mit niedrigem Entwicklungsindex waren am stärksten betroffen.</w:t>
      </w:r>
    </w:p>
    <w:p>
      <w:r>
        <w:rPr>
          <w:b/>
          <w:sz w:val="19"/>
        </w:rPr>
        <w:t xml:space="preserve">Übertragbarkeit: </w:t>
      </w:r>
      <w:r>
        <w:rPr>
          <w:sz w:val="19"/>
        </w:rPr>
        <w:t>Methodik zur Quantifizierung kombinierter Extremwetter-Expositionen; globale Trends übertragbar auf Risikomodellierung</w:t>
      </w:r>
    </w:p>
    <w:p>
      <w:r>
        <w:rPr>
          <w:color w:val="5A7D3A"/>
          <w:sz w:val="18"/>
        </w:rPr>
        <w:t>https://pubmed.ncbi.nlm.nih.gov/42873846/</w:t>
      </w:r>
    </w:p>
    <w:p>
      <w:pPr>
        <w:pStyle w:val="Heading2"/>
      </w:pPr>
      <w:r>
        <w:t>Klimakrise und psychische Gesundheit: Unsicherheit als Treiber von Angststörungen</w:t>
      </w:r>
    </w:p>
    <w:p>
      <w:r>
        <w:rPr>
          <w:i/>
          <w:color w:val="666666"/>
          <w:sz w:val="18"/>
        </w:rPr>
        <w:t>Zysset A et al.  ·  Front Public Health  ·  29.09.2026  ·  PMID 42871219</w:t>
      </w:r>
    </w:p>
    <w:p>
      <w:r>
        <w:t>Längsschnitt-Studie an Schweizer Studierenden (N = 1.001) untersuchte die Assoziation zwischen Unsicherheit (persönlich und klimabezogen) und Angstsymptomen post-COVID.</w:t>
      </w:r>
    </w:p>
    <w:p>
      <w:r>
        <w:rPr>
          <w:b/>
        </w:rPr>
        <w:t xml:space="preserve">Ergebnis: </w:t>
      </w:r>
      <w:r>
        <w:t>Unsicherheit war positiv mit Angstsymptomen assoziiert (β = 0,50; 95%-KI 0,44–0,56). Selbstwirksamkeit (β = −0,22; 95%-KI −0,29, −0,15) und Resilienz (β = −0,08; 95%-KI −0,29, −0,03) waren negativ assoziiert. Das Modell erklärte 39 % der Angstsymptome. Angstniveaus zeigten post-COVID Plateau, nicht Rückgang.</w:t>
      </w:r>
    </w:p>
    <w:p>
      <w:r>
        <w:rPr>
          <w:b/>
          <w:sz w:val="19"/>
        </w:rPr>
        <w:t xml:space="preserve">Übertragbarkeit: </w:t>
      </w:r>
      <w:r>
        <w:rPr>
          <w:sz w:val="19"/>
        </w:rPr>
        <w:t>Schweiz; gemäßigte Klimazone; Unsicherheit als psychischer Klima-Krankheitsmechanismus</w:t>
      </w:r>
    </w:p>
    <w:p>
      <w:r>
        <w:rPr>
          <w:color w:val="5A7D3A"/>
          <w:sz w:val="18"/>
        </w:rPr>
        <w:t>https://pubmed.ncbi.nlm.nih.gov/42871219/</w:t>
      </w:r>
    </w:p>
    <w:p>
      <w:pPr>
        <w:pStyle w:val="Heading2"/>
      </w:pPr>
      <w:r>
        <w:t>Automatisierte Pollenüberwachung für Asthma-Vorhersage</w:t>
      </w:r>
    </w:p>
    <w:p>
      <w:r>
        <w:rPr>
          <w:i/>
          <w:color w:val="666666"/>
          <w:sz w:val="18"/>
        </w:rPr>
        <w:t>Lampugnani ER et al.  ·  Environ Monit Assess  ·  13.10.2026  ·  PMID 42870105</w:t>
      </w:r>
    </w:p>
    <w:p>
      <w:r>
        <w:t>Validierungsstudie der automatisierten Pollenmesskammer SwisensPoleno Mars gegen manuelle Burkard-Methode in Melbourne zur Vorhersage von Gewitter-assoziiertem Asthma.</w:t>
      </w:r>
    </w:p>
    <w:p>
      <w:r>
        <w:rPr>
          <w:b/>
        </w:rPr>
        <w:t xml:space="preserve">Ergebnis: </w:t>
      </w:r>
      <w:r>
        <w:t>Starke Korrelation für Gesamtpollen (R² = 0,92), Gräser (R² = 0,92) und Zypresse (R² = 0,86). Gräserpollen, zentral für Gewitter-Asthma-Prognosen, zeigten besonders hohe Übereinstimmung und konsistente Klassifizierung in operative Risikoschwellen. Das automatisierte System reproduzierte erwartete Tagesrhythmen.</w:t>
      </w:r>
    </w:p>
    <w:p>
      <w:r>
        <w:rPr>
          <w:b/>
          <w:sz w:val="19"/>
        </w:rPr>
        <w:t xml:space="preserve">Übertragbarkeit: </w:t>
      </w:r>
      <w:r>
        <w:rPr>
          <w:sz w:val="19"/>
        </w:rPr>
        <w:t>Australien; Methodik und Schwellwerte nicht auf gemäßigte Zone übertragbar, aber Technik relevant</w:t>
      </w:r>
    </w:p>
    <w:p>
      <w:r>
        <w:rPr>
          <w:color w:val="5A7D3A"/>
          <w:sz w:val="18"/>
        </w:rPr>
        <w:t>https://pubmed.ncbi.nlm.nih.gov/42870105/</w:t>
      </w:r>
    </w:p>
    <w:p>
      <w:pPr>
        <w:pStyle w:val="Heading2"/>
      </w:pPr>
      <w:r>
        <w:t>Luftgestützte Mikroplastik: Exposition, Quellen und Gesundheitsrisiken</w:t>
      </w:r>
    </w:p>
    <w:p>
      <w:r>
        <w:rPr>
          <w:i/>
          <w:color w:val="666666"/>
          <w:sz w:val="18"/>
        </w:rPr>
        <w:t>Cao L et al.  ·  Environ Monit Assess  ·  07.10.2026  ·  PMID 42844460</w:t>
      </w:r>
    </w:p>
    <w:p>
      <w:r>
        <w:t>Systematische Review von 161 Publikationen (2021–2025) zur physikalischen Charakterisierung, Verteilung, menschlichen Exposition und Toxikologie von atmosphärischen Mikroplastiken.</w:t>
      </w:r>
    </w:p>
    <w:p>
      <w:r>
        <w:rPr>
          <w:b/>
        </w:rPr>
        <w:t xml:space="preserve">Ergebnis: </w:t>
      </w:r>
      <w:r>
        <w:t>Inhalation und dermale Exposition als Hauptaufnahmepfade; Partikel &lt; 10 μm penetrieren Atemwegsbarrieren. Systematische Diskrepanz von Faktor 10–100 zwischen aktiver und passiver Probenahme. Indoorkonzentrationen stark abhängig von Lüftung und lokalisierten Punktquellen. Molekulare Wirkmechanismen: oxidativer Stress und Entzündungsantwort; Langzeitvergiftungsmechanismen noch unklar.</w:t>
      </w:r>
    </w:p>
    <w:p>
      <w:r>
        <w:rPr>
          <w:b/>
          <w:sz w:val="19"/>
        </w:rPr>
        <w:t xml:space="preserve">Übertragbarkeit: </w:t>
      </w:r>
      <w:r>
        <w:rPr>
          <w:sz w:val="19"/>
        </w:rPr>
        <w:t>Klimaunabhängige Umweltexposition; Methodik-Standardisierung global relevant</w:t>
      </w:r>
    </w:p>
    <w:p>
      <w:r>
        <w:rPr>
          <w:color w:val="5A7D3A"/>
          <w:sz w:val="18"/>
        </w:rPr>
        <w:t>https://pubmed.ncbi.nlm.nih.gov/42844460/</w:t>
      </w:r>
    </w:p>
    <w:p>
      <w:pPr>
        <w:pStyle w:val="Heading1"/>
      </w:pPr>
      <w:r>
        <w:t>Aufgenommen am 14.10.2026</w:t>
      </w:r>
    </w:p>
    <w:p>
      <w:pPr>
        <w:pStyle w:val="Heading2"/>
      </w:pPr>
      <w:r>
        <w:t>Temperaturextreme und Autoimmunerkrankungen</w:t>
      </w:r>
    </w:p>
    <w:p>
      <w:r>
        <w:rPr>
          <w:i/>
          <w:color w:val="666666"/>
          <w:sz w:val="18"/>
        </w:rPr>
        <w:t>Robichon K et al.  ·  Semin Immunopathol  ·  13.10.2026  ·  PMID 42867511</w:t>
      </w:r>
    </w:p>
    <w:p>
      <w:r>
        <w:t>Narrative Übersichtsarbeit über die biologischen Mechanismen, durch die Hitze und Kälte die Entwicklung und den Krankheitsverlauf von Autoimmunerkrankungen beeinflussen.</w:t>
      </w:r>
    </w:p>
    <w:p>
      <w:r>
        <w:rPr>
          <w:b/>
        </w:rPr>
        <w:t xml:space="preserve">Ergebnis: </w:t>
      </w:r>
      <w:r>
        <w:t>Hitze und Kälte verändern Immunzellfunktion durch Effekte auf Zellsignalisierung, Zytokinproduktion und Barrierenintegrität. Evidenz zeigt saisonale/regionale Temperaturmuster mit Raten von Autoimmunerkrankungen assoziiert; Hitzewellen verschärfen Fatigue und neurologische Symptome bei Multipler Sklerose, Kältephasen triggern Gefäßverengung und Gewebenekrose bei systemischer Sklerose.</w:t>
      </w:r>
    </w:p>
    <w:p>
      <w:r>
        <w:rPr>
          <w:b/>
          <w:sz w:val="19"/>
        </w:rPr>
        <w:t xml:space="preserve">Übertragbarkeit: </w:t>
      </w:r>
      <w:r>
        <w:rPr>
          <w:sz w:val="19"/>
        </w:rPr>
        <w:t>Mitteleuropäische Klimazone, mechanismusbasierte Prinzipien unabhängig von Temperaturschwellen</w:t>
      </w:r>
    </w:p>
    <w:p>
      <w:r>
        <w:rPr>
          <w:color w:val="5A7D3A"/>
          <w:sz w:val="18"/>
        </w:rPr>
        <w:t>https://pubmed.ncbi.nlm.nih.gov/42867511/</w:t>
      </w:r>
    </w:p>
    <w:p>
      <w:pPr>
        <w:pStyle w:val="Heading2"/>
      </w:pPr>
      <w:r>
        <w:t>Kyasanur-Waldkrankheit: Klimawandel und Zoonose-Risiko in Europa</w:t>
      </w:r>
    </w:p>
    <w:p>
      <w:r>
        <w:rPr>
          <w:i/>
          <w:color w:val="666666"/>
          <w:sz w:val="18"/>
        </w:rPr>
        <w:t>Špačková M et al.  ·  Epidemiol Mikrobiol Imunol  ·  2026  ·  PMID 42859865</w:t>
      </w:r>
    </w:p>
    <w:p>
      <w:r>
        <w:t>Narrative Übersichtsarbeit zur Kyasanur-Waldkrankheit, einer durch Klimawandel, Entwaldung und erhöhten Menschenkontakt mit Wäldern expandierenden Zoonose in Indien, mit Bewertung des Risikos für die Tschechische Republik.</w:t>
      </w:r>
    </w:p>
    <w:p>
      <w:r>
        <w:rPr>
          <w:b/>
        </w:rPr>
        <w:t xml:space="preserve">Ergebnis: </w:t>
      </w:r>
      <w:r>
        <w:t>Kyasanur-Waldkrankheit ist eine Zecken-übertragene hämorrhagische Erkrankung mit Fallsterblichkeit 3–10%; Fälle in Indien nehmen zu, Verbreitungsgebiet expandiert. Ausbreitungsgebiete an Klimawandel, Entwaldung und menschliche Waldkontakte gebunden. In der Tschechischen Republik bislang nicht gemeldet, aber importierte Fälle nach Reisen möglich. One-Health-Ansatz und verstärkte Surveillance arboviraler Erreger in Mitteleuropa erforderlich.</w:t>
      </w:r>
    </w:p>
    <w:p>
      <w:r>
        <w:rPr>
          <w:b/>
          <w:sz w:val="19"/>
        </w:rPr>
        <w:t xml:space="preserve">Übertragbarkeit: </w:t>
      </w:r>
      <w:r>
        <w:rPr>
          <w:sz w:val="19"/>
        </w:rPr>
        <w:t>Mitteleuropa, klimazonale Anpassung aktuell nicht betroffen; Surveillance-Struktur und One-Health-Prinzipien relevant</w:t>
      </w:r>
    </w:p>
    <w:p>
      <w:r>
        <w:rPr>
          <w:color w:val="5A7D3A"/>
          <w:sz w:val="18"/>
        </w:rPr>
        <w:t>https://pubmed.ncbi.nlm.nih.gov/42859865/</w:t>
      </w:r>
    </w:p>
    <w:p>
      <w:pPr>
        <w:pStyle w:val="Heading2"/>
      </w:pPr>
      <w:r>
        <w:t>Luftverschmutzung und Frühauftreten von Lungenkrebs</w:t>
      </w:r>
    </w:p>
    <w:p>
      <w:r>
        <w:rPr>
          <w:i/>
          <w:color w:val="666666"/>
          <w:sz w:val="18"/>
        </w:rPr>
        <w:t>Gao YY et al.  ·  Carcinogenesis  ·  07.07.2026  ·  PMID 42830393</w:t>
      </w:r>
    </w:p>
    <w:p>
      <w:r>
        <w:t>Narrative Übersichtsarbeit zu Mechanismen, durch die Luft- und Haushaltsverschmutzung frühe Lungenkarzinogenese antreiben, und zu frühen Biomarkern und Chemoprävention.</w:t>
      </w:r>
    </w:p>
    <w:p>
      <w:r>
        <w:rPr>
          <w:b/>
        </w:rPr>
        <w:t xml:space="preserve">Ergebnis: </w:t>
      </w:r>
      <w:r>
        <w:t>Luftverschmutzung (PM2,5, PM10) ist für &gt;14% der globalen Lungenkrebstodesfälle verantwortlich. 99% der Weltbevölkerung atmet Luft über WHO-Richtliniengrenzen (5 μg/m³ PM2,5, 15 μg/m³ PM10). Mechanismen: DNA-Schaden, Telomerverkürzung, mitochondriale Beeinträchtigung, chronische Inflammation (CXCL13, IL-1β), Immunevasion (PD-L1, CD47-SIRPα), Dysbiose. Validierte Frühbiomarker vorhanden; Multimarker-Kombinationen zeigen verbesserte Effizienz.</w:t>
      </w:r>
    </w:p>
    <w:p>
      <w:r>
        <w:rPr>
          <w:b/>
          <w:sz w:val="19"/>
        </w:rPr>
        <w:t xml:space="preserve">Übertragbarkeit: </w:t>
      </w:r>
      <w:r>
        <w:rPr>
          <w:sz w:val="19"/>
        </w:rPr>
        <w:t>Global relevant, absolute Schwellwerte für Deutschland übertragbar</w:t>
      </w:r>
    </w:p>
    <w:p>
      <w:r>
        <w:rPr>
          <w:color w:val="5A7D3A"/>
          <w:sz w:val="18"/>
        </w:rPr>
        <w:t>https://pubmed.ncbi.nlm.nih.gov/42830393/</w:t>
      </w:r>
    </w:p>
    <w:p>
      <w:pPr>
        <w:pStyle w:val="Heading2"/>
      </w:pPr>
      <w:r>
        <w:t>Luftschadstoffexposition in der Frühschwangerschaft und angeborene Herzfehler</w:t>
      </w:r>
    </w:p>
    <w:p>
      <w:r>
        <w:rPr>
          <w:i/>
          <w:color w:val="666666"/>
          <w:sz w:val="18"/>
        </w:rPr>
        <w:t>Kukshal P et al.  ·  Indian J Pediatr  ·  02.10.2026  ·  PMID 42825890</w:t>
      </w:r>
    </w:p>
    <w:p>
      <w:r>
        <w:t>Fall-Kontroll-Studie mit 1.556 Teilnehmern (1.115 Fälle, 441 Kontrollen) zur Assoziation perikonzeptioneller Luftschadstoffexposition (PM2,5, PM10, NO2, AQI) mit angeborenen Herzfehlern in Delhi-NCR.</w:t>
      </w:r>
    </w:p>
    <w:p>
      <w:r>
        <w:rPr>
          <w:b/>
        </w:rPr>
        <w:t xml:space="preserve">Ergebnis: </w:t>
      </w:r>
      <w:r>
        <w:t>Perikonzeptionelle Exposition gegenüber schlechtem AQI und PM10 signifikant assoziiert mit erhöhtem Risiko angeborener Herzfehler. Post-Konzeptionsperiode zeigte stärkste Assoziationen: schlechter AQI für alle Herzfehler (AOR=2,74, 95%-KI: 1,78–4,22), PM10 für alle Herzfehler (AOR=3,36, 95%-KI: 2,05–5,52); Ventrikelseptumdefekt konsistent mit PM10 assoziiert (prä-konzeptionell AOR=3,13, post-konzeptionell AOR=4,35).</w:t>
      </w:r>
    </w:p>
    <w:p>
      <w:r>
        <w:rPr>
          <w:b/>
          <w:sz w:val="19"/>
        </w:rPr>
        <w:t xml:space="preserve">Übertragbarkeit: </w:t>
      </w:r>
      <w:r>
        <w:rPr>
          <w:sz w:val="19"/>
        </w:rPr>
        <w:t>Südasien, Temperaturschwellen nicht übertragbar; Expositionsfenster-Methodik und Präventionsprinzipien anwendbar</w:t>
      </w:r>
    </w:p>
    <w:p>
      <w:r>
        <w:rPr>
          <w:color w:val="5A7D3A"/>
          <w:sz w:val="18"/>
        </w:rPr>
        <w:t>https://pubmed.ncbi.nlm.nih.gov/42825890/</w:t>
      </w:r>
    </w:p>
    <w:p>
      <w:pPr>
        <w:pStyle w:val="Heading2"/>
      </w:pPr>
      <w:r>
        <w:t>Todesfälle durch Hitze und Hitzschlag bei Kindern und Erwachsenen</w:t>
      </w:r>
    </w:p>
    <w:p>
      <w:r>
        <w:rPr>
          <w:i/>
          <w:color w:val="666666"/>
          <w:sz w:val="18"/>
        </w:rPr>
        <w:t>Can A et al.  ·  Leg Med (Tokyo)  ·  29.09.2026  ·  PMID 42815323</w:t>
      </w:r>
    </w:p>
    <w:p>
      <w:r>
        <w:t>Retrospektive Obduktionsanalyse von 22 Hitzschlag-Todesfällen (2015–2024) in der Türkei zur Charakterisierung demografischer, umgebungsbezogener und pathologischer Muster bei Kindern und Erwachsenen.</w:t>
      </w:r>
    </w:p>
    <w:p>
      <w:r>
        <w:rPr>
          <w:b/>
        </w:rPr>
        <w:t xml:space="preserve">Ergebnis: </w:t>
      </w:r>
      <w:r>
        <w:t>12 Kinder, 10 Erwachsene; 68,2% männlich. 91,7% der Kindertodesfälle in geparkten Fahrzeugen; Erwachsenentodesfälle überwiegend im Freien und berufliche Exposition. Maximale Umgebungstemperatur ≥35 °C an 72,7% der Tage (Median 37,0 °C). 86,4% ohne vorherigen Arztkontakt. Keine spezifische Obduktionsfindung; Diagnose beruhte auf Szene-/Meteorologiedaten plus Ausschlussdiagnose.</w:t>
      </w:r>
    </w:p>
    <w:p>
      <w:r>
        <w:rPr>
          <w:b/>
          <w:sz w:val="19"/>
        </w:rPr>
        <w:t xml:space="preserve">Übertragbarkeit: </w:t>
      </w:r>
      <w:r>
        <w:rPr>
          <w:sz w:val="19"/>
        </w:rPr>
        <w:t>Südtürkei, klimawärmer als Deutschland; Präventionsansätze nach Alter/Expositionskontext übertragbar</w:t>
      </w:r>
    </w:p>
    <w:p>
      <w:r>
        <w:rPr>
          <w:color w:val="5A7D3A"/>
          <w:sz w:val="18"/>
        </w:rPr>
        <w:t>https://pubmed.ncbi.nlm.nih.gov/42815323/</w:t>
      </w:r>
    </w:p>
    <w:p>
      <w:pPr>
        <w:pStyle w:val="Heading2"/>
      </w:pPr>
      <w:r>
        <w:t>Grünflächenausstattung und mentale Gesundheit in französischer Stadt</w:t>
      </w:r>
    </w:p>
    <w:p>
      <w:r>
        <w:rPr>
          <w:i/>
          <w:color w:val="666666"/>
          <w:sz w:val="18"/>
        </w:rPr>
        <w:t>Sicard P et al.  ·  J Environ Manage  ·  01.10.2026  ·  PMID 42784923</w:t>
      </w:r>
    </w:p>
    <w:p>
      <w:r>
        <w:t>Querschnittsstudie mit 1.195 Erwachsenen in Aix-en-Provence zur Assoziation von Grünflächenverfügbarkeit (3-30-300 Regel) mit selbstberichteter psychischer Gesundheit und Verhaltensoutcomes.</w:t>
      </w:r>
    </w:p>
    <w:p>
      <w:r>
        <w:rPr>
          <w:b/>
        </w:rPr>
        <w:t xml:space="preserve">Ergebnis: </w:t>
      </w:r>
      <w:r>
        <w:t>Höhere Baumbestände im Distrikt assoziiert mit besserer Schlafqualität (β=0,0059, 95%-KI: 0,0017–0,0101), weniger Traurheit (β=−0,0066, 95%-KI: −0,0125–−0,0006) und Angstsymptomen (β=−0,0073, 95%-KI: −0,0159–0,0014); Gebäude mit mindestens zwei Komponenten der 3-30-300 Regel assoziiert mit besserer mentaler Gesundheit (β=0,0054) und niedrigerem Stress (β=−0,0081, p&lt;0,05).</w:t>
      </w:r>
    </w:p>
    <w:p>
      <w:r>
        <w:rPr>
          <w:b/>
          <w:sz w:val="19"/>
        </w:rPr>
        <w:t xml:space="preserve">Übertragbarkeit: </w:t>
      </w:r>
      <w:r>
        <w:rPr>
          <w:sz w:val="19"/>
        </w:rPr>
        <w:t>Südeuropa, urbane Planungsprinzipien auf mediterrane Mittelstadt übertragbar</w:t>
      </w:r>
    </w:p>
    <w:p>
      <w:r>
        <w:rPr>
          <w:color w:val="5A7D3A"/>
          <w:sz w:val="18"/>
        </w:rPr>
        <w:t>https://pubmed.ncbi.nlm.nih.gov/42784923/</w:t>
      </w:r>
    </w:p>
    <w:p>
      <w:pPr>
        <w:pStyle w:val="Heading1"/>
      </w:pPr>
      <w:r>
        <w:t>Aufgenommen am 13.10.2026</w:t>
      </w:r>
    </w:p>
    <w:p>
      <w:pPr>
        <w:pStyle w:val="Heading2"/>
      </w:pPr>
      <w:r>
        <w:t>Fleischalternativen: Verbraucher akzeptieren Fleisch-Nomenklatur, aber wünschen transparentere Kennzeichnung</w:t>
      </w:r>
    </w:p>
    <w:p>
      <w:r>
        <w:rPr>
          <w:i/>
          <w:color w:val="666666"/>
          <w:sz w:val="18"/>
        </w:rPr>
        <w:t>Ketelings L et al.  ·  Front Public Health  ·  22.09.2026  ·  PMID 42840042</w:t>
      </w:r>
    </w:p>
    <w:p>
      <w:r>
        <w:t>Fokusgruppenstudie mit niederländischen Verbrauchern unterschiedlicher Fleischkonsumgewohnheiten zu Wahrnehmung und Erwartungen bei Kennzeichnung von Fleischalternativen im Kontext Nachhaltigkeit und Klimaschutz.</w:t>
      </w:r>
    </w:p>
    <w:p>
      <w:r>
        <w:rPr>
          <w:b/>
        </w:rPr>
        <w:t xml:space="preserve">Ergebnis: </w:t>
      </w:r>
      <w:r>
        <w:t>Kernfunde: Produktbezeichnung, Positionierung und Glaubwürdigkeitsattribute prägen Kundenerwartungen. Verbraucher berichten keine unbeabsichtigten Käufe, äußern aber Bedenken vor Irreführung; fleischähnliche Nomenklatur hilft bei Vertrautheit und Produktverständnis. Forderung nach standardisierten, transparenten Kennzeichnungspraktiken zur Verbraucherschutz und Unterstützung nachhaltiger Adoption.</w:t>
      </w:r>
    </w:p>
    <w:p>
      <w:r>
        <w:rPr>
          <w:b/>
          <w:sz w:val="19"/>
        </w:rPr>
        <w:t xml:space="preserve">Übertragbarkeit: </w:t>
      </w:r>
      <w:r>
        <w:rPr>
          <w:sz w:val="19"/>
        </w:rPr>
        <w:t>Niederlande; direkt auf deutschsprachigen Raum übertragbar, vergleichbare Verbrauchererwartungen</w:t>
      </w:r>
    </w:p>
    <w:p>
      <w:r>
        <w:rPr>
          <w:color w:val="5A7D3A"/>
          <w:sz w:val="18"/>
        </w:rPr>
        <w:t>https://pubmed.ncbi.nlm.nih.gov/42840042/</w:t>
      </w:r>
    </w:p>
    <w:p>
      <w:pPr>
        <w:pStyle w:val="Heading2"/>
      </w:pPr>
      <w:r>
        <w:t>Klimawandel und Fasciola-Übertragung: Risiken in Nordeuropa steigen, in Westafrika sinken</w:t>
      </w:r>
    </w:p>
    <w:p>
      <w:r>
        <w:rPr>
          <w:i/>
          <w:color w:val="666666"/>
          <w:sz w:val="18"/>
        </w:rPr>
        <w:t>van der Deure T et al.  ·  PLoS Negl Trop Dis  ·  05.10.2026  ·  PMID 42832590</w:t>
      </w:r>
    </w:p>
    <w:p>
      <w:r>
        <w:t>Entwicklung eines Risikoindex zur Prognose von Leberegelinfektionen (F. hepatica und F. gigantica) unter Klimawandel in Afrika und Europa basierend auf Temperaturabhängigkeit der Parasitenentwicklung, Schneckenverbreitung und Gewässerverfügbarkeit.</w:t>
      </w:r>
    </w:p>
    <w:p>
      <w:r>
        <w:rPr>
          <w:b/>
        </w:rPr>
        <w:t xml:space="preserve">Ergebnis: </w:t>
      </w:r>
      <w:r>
        <w:t>F. gigantica-Risiko sinkt in Sahel und Westafrika; F. hepatica-Risiko nimmt in Nordeuropa, Skandinavien und Island zu, wo Viehdichten hoch sind. Hybridisierungsrisiko beider Arten geht zurück aufgrund reduzierter geografischer Überlappung.</w:t>
      </w:r>
    </w:p>
    <w:p>
      <w:r>
        <w:rPr>
          <w:b/>
          <w:sz w:val="19"/>
        </w:rPr>
        <w:t xml:space="preserve">Übertragbarkeit: </w:t>
      </w:r>
      <w:r>
        <w:rPr>
          <w:sz w:val="19"/>
        </w:rPr>
        <w:t>Nordeuropa betroffen; Methodik und Risikoabschätzung übertragbar auf gemäßigte Zonen</w:t>
      </w:r>
    </w:p>
    <w:p>
      <w:r>
        <w:rPr>
          <w:color w:val="5A7D3A"/>
          <w:sz w:val="18"/>
        </w:rPr>
        <w:t>https://pubmed.ncbi.nlm.nih.gov/42832590/</w:t>
      </w:r>
    </w:p>
    <w:p>
      <w:pPr>
        <w:pStyle w:val="Heading2"/>
      </w:pPr>
      <w:r>
        <w:t>Klimawandel verschärft Flugverkehr-Vereisungsrisiken: Eismeldungen in China um 500 m/Jahr angestiegen</w:t>
      </w:r>
    </w:p>
    <w:p>
      <w:r>
        <w:rPr>
          <w:i/>
          <w:color w:val="666666"/>
          <w:sz w:val="18"/>
        </w:rPr>
        <w:t>Zhang W et al.  ·  J Environ Sci (China)  ·  01.02.2026  ·  PMID 42822913</w:t>
      </w:r>
    </w:p>
    <w:p>
      <w:r>
        <w:t>Analyse von 13 Jahren (2011–2023) Piloten-Vereisungsmeldungen (PIREPs) in China zur Erfassung von Häufigkeit, räumlichen Mustern, Vertikalverteilung und zeitlichen Trends sowie deren Zusammenhang mit Klimawandel, Topografie, Wirtschaftsaktivität und Aerosol-Emissionen.</w:t>
      </w:r>
    </w:p>
    <w:p>
      <w:r>
        <w:rPr>
          <w:b/>
        </w:rPr>
        <w:t xml:space="preserve">Ergebnis: </w:t>
      </w:r>
      <w:r>
        <w:t>Deutlicher räumlicher Gradient (Südwesten höchste Häufigkeit); Vertikalstratifikation mit Spitzenwert 2–8 km Höhe; winterliche Dominanz (7,3-fach höher als Sommer); auffällige Aufwärtsverschiebung der primären Vereisungsschicht um ~500 m/Jahr ab 2018, korrelierend mit steigenden Gefriergrenzenhöhen unter globaler Erwärmung.</w:t>
      </w:r>
    </w:p>
    <w:p>
      <w:r>
        <w:rPr>
          <w:b/>
          <w:sz w:val="19"/>
        </w:rPr>
        <w:t xml:space="preserve">Übertragbarkeit: </w:t>
      </w:r>
      <w:r>
        <w:rPr>
          <w:sz w:val="19"/>
        </w:rPr>
        <w:t>China; Methodik auf gemäßigte Zonen übertragbar, regionale Temperaturtrends sind klimaabhängig</w:t>
      </w:r>
    </w:p>
    <w:p>
      <w:r>
        <w:rPr>
          <w:color w:val="5A7D3A"/>
          <w:sz w:val="18"/>
        </w:rPr>
        <w:t>https://pubmed.ncbi.nlm.nih.gov/42822913/</w:t>
      </w:r>
    </w:p>
    <w:p>
      <w:pPr>
        <w:pStyle w:val="Heading2"/>
      </w:pPr>
      <w:r>
        <w:t>Umweltbelastung und Gehirn: Tägliche Schwankungen in Luftqualität und Lärm beeinflussen Hirnstruktur</w:t>
      </w:r>
    </w:p>
    <w:p>
      <w:r>
        <w:rPr>
          <w:i/>
          <w:color w:val="666666"/>
          <w:sz w:val="18"/>
        </w:rPr>
        <w:t>Falkenstein K et al.  ·  BMC Neurosci  ·  23.09.2026  ·  PMID 42778897</w:t>
      </w:r>
    </w:p>
    <w:p>
      <w:r>
        <w:t>Studienprotokoll für Langzeitstudie mit 30 Teilnehmern über 25 Messsitzungen zur Erfassung tagesdurchschnittlicher Umweltvariationen (Luftqualität, Lärm, Lichteexposition, physische Aktivität) und deren Auswirkungen auf Hirnstruktur, -funktion und Wohlbefinden mittels Neuroimaging und tragbarer Sensoren.</w:t>
      </w:r>
    </w:p>
    <w:p>
      <w:r>
        <w:rPr>
          <w:b/>
        </w:rPr>
        <w:t xml:space="preserve">Ergebnis: </w:t>
      </w:r>
      <w:r>
        <w:t>Studiendesign zur Erfassung von Zusammenhängen zwischen alltäglicher Umweltexposition und kurzfristiger Neuroplastizität etabliert; Dataset umfasst multimodale Neuroimaging-Messungen (T1/T2*-gewichtet, Diffusions-Tensor-Imaging) sowie kontinuierliche Umwelt- und physiologische Tracking-Daten.</w:t>
      </w:r>
    </w:p>
    <w:p>
      <w:r>
        <w:rPr>
          <w:b/>
          <w:sz w:val="19"/>
        </w:rPr>
        <w:t xml:space="preserve">Übertragbarkeit: </w:t>
      </w:r>
      <w:r>
        <w:rPr>
          <w:sz w:val="19"/>
        </w:rPr>
        <w:t>Deutschland (Berlin/Hamburg); direkt übertragbar auf gemäßigte Klimazone und urbane Gesundheitsfragen</w:t>
      </w:r>
    </w:p>
    <w:p>
      <w:r>
        <w:rPr>
          <w:color w:val="5A7D3A"/>
          <w:sz w:val="18"/>
        </w:rPr>
        <w:t>https://pubmed.ncbi.nlm.nih.gov/42778897/</w:t>
      </w:r>
    </w:p>
    <w:p>
      <w:pPr>
        <w:pStyle w:val="Heading2"/>
      </w:pPr>
      <w:r>
        <w:t>KI-Modelle und Klimawandel-Debatten: Systematische Verzerrungen in LLM-Meinungsdynamiken messbar</w:t>
      </w:r>
    </w:p>
    <w:p>
      <w:r>
        <w:rPr>
          <w:i/>
          <w:color w:val="666666"/>
          <w:sz w:val="18"/>
        </w:rPr>
        <w:t>Brockers VC et al.  ·  Nat Commun  ·  22.09.2026  ·  PMID 42773123</w:t>
      </w:r>
    </w:p>
    <w:p>
      <w:r>
        <w:t>Entwicklung eines Bayes-Frameworks zur Messung von Verzerrungen in Meinungsdynamiken von Large Language Models (LLMs) in Multi-Schritt-Dialogen zu 12 Fragen, darunter Klimawandel, mit Quantifizierung von Topic-Bias, Agreement-Bias und Anchoring-Bias.</w:t>
      </w:r>
    </w:p>
    <w:p>
      <w:r>
        <w:rPr>
          <w:b/>
        </w:rPr>
        <w:t xml:space="preserve">Ergebnis: </w:t>
      </w:r>
      <w:r>
        <w:t>Meinungstrajektorien konvergieren schnell zu gemeinsamen Attraktoren; Einfluss von Interaktion und Verzerrungen nimmt zeitlich ab; Verzerrungseffekte unterscheiden sich zwischen LLM-Typen. Fine-Tuning auf stark opinionierte Statements verschiebt Meinungs-Attraktoren entsprechend. Framework offenbart erhebliche Unterschiede zwischen LLMs und quantifiziert Beitrag von Verzerrungen vs. echter Interaktion.</w:t>
      </w:r>
    </w:p>
    <w:p>
      <w:r>
        <w:rPr>
          <w:b/>
          <w:sz w:val="19"/>
        </w:rPr>
        <w:t xml:space="preserve">Übertragbarkeit: </w:t>
      </w:r>
      <w:r>
        <w:rPr>
          <w:sz w:val="19"/>
        </w:rPr>
        <w:t>Deutschland; Methodik zur Messung ideologischer Verzerrungen in KI-generierten Klimadebatten anwendbar</w:t>
      </w:r>
    </w:p>
    <w:p>
      <w:r>
        <w:rPr>
          <w:color w:val="5A7D3A"/>
          <w:sz w:val="18"/>
        </w:rPr>
        <w:t>https://pubmed.ncbi.nlm.nih.gov/42773123/</w:t>
      </w:r>
    </w:p>
    <w:p>
      <w:pPr>
        <w:pStyle w:val="Heading2"/>
      </w:pPr>
      <w:r>
        <w:t>Feinstaubbelastung und Toxizität in Grillrestaurants: Innenraum-PM₁₀ doppelt so hoch wie außen</w:t>
      </w:r>
    </w:p>
    <w:p>
      <w:r>
        <w:rPr>
          <w:i/>
          <w:color w:val="666666"/>
          <w:sz w:val="18"/>
        </w:rPr>
        <w:t>Figueiredo D et al.  ·  Environ Toxicol Pharmacol  ·  22.09.2026  ·  PMID 42772535</w:t>
      </w:r>
    </w:p>
    <w:p>
      <w:r>
        <w:t>Untersuchung der chemischen Zusammensetzung und Toxizität von PM₁₀ in einem portugiesischen Grillrestaurant mit Messungen innen und außen sowie Zellviabilitätstests an Lungenzellen.</w:t>
      </w:r>
    </w:p>
    <w:p>
      <w:r>
        <w:rPr>
          <w:b/>
        </w:rPr>
        <w:t xml:space="preserve">Ergebnis: </w:t>
      </w:r>
      <w:r>
        <w:t>Indoor-PM₁₀-Konzentrationen deutlich höher als outdoor; Kohlehydrate machten bis zu 50% der PM₁₀-Masse aus. Indoorproben zeigten höhere oxidative Spannung (OPDTT), reduzierte Zellviabilität und erhöhte intrazelluläre ROS im Vergleich zu Outdoor-Proben.</w:t>
      </w:r>
    </w:p>
    <w:p>
      <w:r>
        <w:rPr>
          <w:b/>
          <w:sz w:val="19"/>
        </w:rPr>
        <w:t xml:space="preserve">Übertragbarkeit: </w:t>
      </w:r>
      <w:r>
        <w:rPr>
          <w:sz w:val="19"/>
        </w:rPr>
        <w:t>Portugal; Innenraumexposition in mitteleuropäischen Arbeitsumgebungen vergleichbar</w:t>
      </w:r>
    </w:p>
    <w:p>
      <w:r>
        <w:rPr>
          <w:color w:val="5A7D3A"/>
          <w:sz w:val="18"/>
        </w:rPr>
        <w:t>https://pubmed.ncbi.nlm.nih.gov/42772535/</w:t>
      </w:r>
    </w:p>
    <w:p>
      <w:pPr>
        <w:pStyle w:val="Heading1"/>
      </w:pPr>
      <w:r>
        <w:t>Aufgenommen am 12.10.2026</w:t>
      </w:r>
    </w:p>
    <w:p>
      <w:pPr>
        <w:pStyle w:val="Heading2"/>
      </w:pPr>
      <w:r>
        <w:t>Stickoxide und Naturzeit: Effekte auf Entzündungsmarker bei Übergewicht</w:t>
      </w:r>
    </w:p>
    <w:p>
      <w:r>
        <w:rPr>
          <w:i/>
          <w:color w:val="666666"/>
          <w:sz w:val="18"/>
        </w:rPr>
        <w:t>Dzhambov AM et al.  ·  Arh Hig Rada Toksikol  ·  01.09.2026  ·  PMID 42859413</w:t>
      </w:r>
    </w:p>
    <w:p>
      <w:r>
        <w:t>Eine Querschnittsstudie (2023-2024) in Bulgarien untersuchte bei 90 übergewichtigen Erwachsenen mit metabolischem Syndrom Assoziationen zwischen Wohnumgebungs-Expositionen (Luftverschmutzung, Lärm, Grünflächen) und proinflammatorischen Markern sowie adipositäsbezogenen Parametern.</w:t>
      </w:r>
    </w:p>
    <w:p>
      <w:r>
        <w:rPr>
          <w:b/>
        </w:rPr>
        <w:t xml:space="preserve">Ergebnis: </w:t>
      </w:r>
      <w:r>
        <w:t>Jede 10 μg/m³ Zunahme von NO₂ war assoziiert mit höherer TNF-α-Konzentration (+36,27 %; 95 % KI: −5,66 %, 96,83 %), IL-6 (+41,63 %; 95 % KI: 8,16 %, 85,46 %), CRP (+37,80 %; 95 % KI: 5,89 %, 79,32 %) und Leptin (+25,61 %; 95 % KI: −8,73 %, 72,88 %). Pro 2 Stunden pro Woche Zeit in der Natur sank TNF-α (−20,49 %; 95 % KI: −37,56 %, 1,23 %) und Adiponectin stieg (+10,30 %; 95 % KI: 1,36 %, 20,03 %).</w:t>
      </w:r>
    </w:p>
    <w:p>
      <w:r>
        <w:rPr>
          <w:b/>
          <w:sz w:val="19"/>
        </w:rPr>
        <w:t xml:space="preserve">Übertragbarkeit: </w:t>
      </w:r>
      <w:r>
        <w:rPr>
          <w:sz w:val="19"/>
        </w:rPr>
        <w:t>Südeuropa mit vergleichbarer Infrastruktur; Assoziationen und Prinzipien auf mitteleuropäische Bevölkerung übertragbar.</w:t>
      </w:r>
    </w:p>
    <w:p>
      <w:r>
        <w:rPr>
          <w:color w:val="5A7D3A"/>
          <w:sz w:val="18"/>
        </w:rPr>
        <w:t>https://pubmed.ncbi.nlm.nih.gov/42859413/</w:t>
      </w:r>
    </w:p>
    <w:p>
      <w:pPr>
        <w:pStyle w:val="Heading2"/>
      </w:pPr>
      <w:r>
        <w:t>Berufliche Hitzeexposition und DNA-Schäden bei Aluminiumhütten-Arbeitern</w:t>
      </w:r>
    </w:p>
    <w:p>
      <w:r>
        <w:rPr>
          <w:i/>
          <w:color w:val="666666"/>
          <w:sz w:val="18"/>
        </w:rPr>
        <w:t>Khalifa EM et al.  ·  Int Arch Occup Environ Health  ·  10.10.2026  ·  PMID 42859242</w:t>
      </w:r>
    </w:p>
    <w:p>
      <w:r>
        <w:t>Eine Querschnittsstudie untersuchte bei 93 Arbeitern (47 hitzeexponiert, 46 Kontrolle) in einer ägyptischen Aluminiumproduktionfabrik die Zusammenhänge zwischen Hitzeexposition und oxidativen Stress-Biomarkern sowie DNA-Reparaturgenen.</w:t>
      </w:r>
    </w:p>
    <w:p>
      <w:r>
        <w:rPr>
          <w:b/>
        </w:rPr>
        <w:t xml:space="preserve">Ergebnis: </w:t>
      </w:r>
      <w:r>
        <w:t>Hitzeexponierte Arbeiter zeigten signifikant erhöhte Konzentrationen von Malondialdehyd und 8-OHdG (beide p &lt; 0,001), während Superoxiddismutase, Glutathionperoxidase und Gesamtantioxidantienkapazität sanken (p &lt; 0,001). Die Hitzeexposition war mit erhöhtem oxidativem Stress, DNA-Schäden und verminderter Expression von DNA-Reparatur- und Redox-Regulationsgenen verbunden, was auf compromittierte zelluläre Abwehrmechanismen hindeutet.</w:t>
      </w:r>
    </w:p>
    <w:p>
      <w:r>
        <w:rPr>
          <w:b/>
          <w:sz w:val="19"/>
        </w:rPr>
        <w:t xml:space="preserve">Übertragbarkeit: </w:t>
      </w:r>
      <w:r>
        <w:rPr>
          <w:sz w:val="19"/>
        </w:rPr>
        <w:t>Mechanismus ist klimazonenunabhängig; Feldmonitoring mit WBGT übertragbar auch für deutsche Arbeitsplätze.</w:t>
      </w:r>
    </w:p>
    <w:p>
      <w:r>
        <w:rPr>
          <w:color w:val="5A7D3A"/>
          <w:sz w:val="18"/>
        </w:rPr>
        <w:t>https://pubmed.ncbi.nlm.nih.gov/42859242/</w:t>
      </w:r>
    </w:p>
    <w:p>
      <w:pPr>
        <w:pStyle w:val="Heading2"/>
      </w:pPr>
      <w:r>
        <w:t>Radon in Krankenhäusern: Monitoring und Risiko-Stratifizierung</w:t>
      </w:r>
    </w:p>
    <w:p>
      <w:r>
        <w:rPr>
          <w:i/>
          <w:color w:val="666666"/>
          <w:sz w:val="18"/>
        </w:rPr>
        <w:t>Ţenter A et al.  ·  Front Public Health  ·  25.09.2026  ·  PMID 42856963</w:t>
      </w:r>
    </w:p>
    <w:p>
      <w:r>
        <w:t>Eine Großstudie installierte 1700 CR-39-Detektoren in 115 medizinischen Einrichtungen in 40 rumänischen Lokalitäten für dreimonatige Messungen; ausgewertet wurden 1651 valide Messungen zur Schätzung der jährlichen Radon-Aktivitätskonzentration.</w:t>
      </w:r>
    </w:p>
    <w:p>
      <w:r>
        <w:rPr>
          <w:b/>
        </w:rPr>
        <w:t xml:space="preserve">Ergebnis: </w:t>
      </w:r>
      <w:r>
        <w:t>Mittlere Radon-Jahreskonzentration 61 Bq/m³ (Median 40 Bq/m³, geometrisches Mittel 41 Bq/m³). Nur 26 von 1651 Messungen (1,6 %) überschritten den Referenzwert von 300 Bq/m³, alle konzentriert in unteren Stockwerken (25 in Kellern/Erdgeschoss). Höhere Konzentrationen in Radiologie und Zahnkliniken, niedrigere in Krankenhäusern. Gebäude-spezifische Charakteristiken und Stockwerk zeigten signifikante Effekte im Mixed-Effects-Modell.</w:t>
      </w:r>
    </w:p>
    <w:p>
      <w:r>
        <w:rPr>
          <w:b/>
          <w:sz w:val="19"/>
        </w:rPr>
        <w:t xml:space="preserve">Übertragbarkeit: </w:t>
      </w:r>
      <w:r>
        <w:rPr>
          <w:sz w:val="19"/>
        </w:rPr>
        <w:t>Rumänien, Europa; Monitoring-Strategie für Kliniken übertragbar auf deutschsprachige Sanitätseinrichtungen.</w:t>
      </w:r>
    </w:p>
    <w:p>
      <w:r>
        <w:rPr>
          <w:color w:val="5A7D3A"/>
          <w:sz w:val="18"/>
        </w:rPr>
        <w:t>https://pubmed.ncbi.nlm.nih.gov/42856963/</w:t>
      </w:r>
    </w:p>
    <w:p>
      <w:pPr>
        <w:pStyle w:val="Heading2"/>
      </w:pPr>
      <w:r>
        <w:t>Klimawandel und Gesundheit in Ländern mit niedrigem Versorgungsniveau</w:t>
      </w:r>
    </w:p>
    <w:p>
      <w:r>
        <w:rPr>
          <w:i/>
          <w:color w:val="666666"/>
          <w:sz w:val="18"/>
        </w:rPr>
        <w:t>Barcellos C et al.  ·  Cien Saude Colet  ·  05.10.2026  ·  PMID 42848628</w:t>
      </w:r>
    </w:p>
    <w:p>
      <w:r>
        <w:t>Ein Expertenpapier analysiert die klimabedingte Belastung für Gesundheitssysteme in peripheren Ländern und vulnerablen Bevölkerungen, besonders im Kontext von Hitzeströmen, Umweltdegradation und mangelhaften Gesundheitsdiensten.</w:t>
      </w:r>
    </w:p>
    <w:p>
      <w:r>
        <w:rPr>
          <w:b/>
        </w:rPr>
        <w:t xml:space="preserve">Ergebnis: </w:t>
      </w:r>
      <w:r>
        <w:t>Zentrale Kernaussage: Klimawandel verursacht geographisch unterschiedliche Gesundheitsfolgen. Periphere Länder und vulnerable Territorien in ihnen erleben Bedingungen aggravierende niedrige Versorgungsqualität und -dichte; dies verstärkt Krankheitsübertragung und nicht-übertragbare Erkrankungen, führt zu Klimaungerechtigkeit. Public Health in peripheren Ländern muss an sozialen und umweltbezogenen Determinanten ansetzen, mit kritischer Haltung zu Adaptationsvorschlägen, die Ungleichheiten reduzieren müssen.</w:t>
      </w:r>
    </w:p>
    <w:p>
      <w:r>
        <w:rPr>
          <w:b/>
          <w:sz w:val="19"/>
        </w:rPr>
        <w:t xml:space="preserve">Übertragbarkeit: </w:t>
      </w:r>
      <w:r>
        <w:rPr>
          <w:sz w:val="19"/>
        </w:rPr>
        <w:t>Lateinamerika, begrenzte Ressourcen; Prinzipien von Klima-Gerechtigkeit und Prioritätenreihung auch für Übergangsphasen in Deutschland relevant.</w:t>
      </w:r>
    </w:p>
    <w:p>
      <w:r>
        <w:rPr>
          <w:color w:val="5A7D3A"/>
          <w:sz w:val="18"/>
        </w:rPr>
        <w:t>https://pubmed.ncbi.nlm.nih.gov/42848628/</w:t>
      </w:r>
    </w:p>
    <w:p>
      <w:pPr>
        <w:pStyle w:val="Heading2"/>
      </w:pPr>
      <w:r>
        <w:t>Klassenzimmer-Luftqualität und Atemwegserkrankungen bei Schülern in Nigeria</w:t>
      </w:r>
    </w:p>
    <w:p>
      <w:r>
        <w:rPr>
          <w:i/>
          <w:color w:val="666666"/>
          <w:sz w:val="18"/>
        </w:rPr>
        <w:t>Eghomwanre AF et al.  ·  Environ Sci Pollut Res Int  ·  28.09.2026  ·  PMID 42804077</w:t>
      </w:r>
    </w:p>
    <w:p>
      <w:r>
        <w:t>Eine Querschnittsstudie in sechs Schulen Nigerias (10 Wochen) maß Luftqualitätsparameter (PM₂,₅, PM₁₀, CO, CO₂) und thermische Behaglichkeit und erfasste respiratorische Symptome mittels Fragebogen und multivariate Regressionsanalyse.</w:t>
      </w:r>
    </w:p>
    <w:p>
      <w:r>
        <w:rPr>
          <w:b/>
        </w:rPr>
        <w:t xml:space="preserve">Ergebnis: </w:t>
      </w:r>
      <w:r>
        <w:t>PM₂,₅ schwankte von 11,2–81,4 μg/m³, PM₁₀ von 20,1–138,6 μg/m³. Alle Hazard-Quotient-Werte (HQ) für PM₂,₅ und PM₁₀ lagen unter 1, deuteten also auf kein chronisches Risiko hin. Jedoch zeigte sich hohe Prävalenz akuter Symptome: Husten (58,2 %), Auswurf (32,5 %), Brustschmerz (26,7 %). Erhöhte PM-Exposition war stark mit Husten assoziiert (p &lt; 0,001) und erhöhte die Chancen für Brustschmerz (bereinigtes OR = 2,74; 95 % KI: 1,35–22,80; p = 0,018).</w:t>
      </w:r>
    </w:p>
    <w:p>
      <w:r>
        <w:rPr>
          <w:b/>
          <w:sz w:val="19"/>
        </w:rPr>
        <w:t xml:space="preserve">Übertragbarkeit: </w:t>
      </w:r>
      <w:r>
        <w:rPr>
          <w:sz w:val="19"/>
        </w:rPr>
        <w:t>Tropische Zone mit anderen Anpassungsniveaus; Methodik und Symptom-Mechanismus prinzipiell übertragbar.</w:t>
      </w:r>
    </w:p>
    <w:p>
      <w:r>
        <w:rPr>
          <w:color w:val="5A7D3A"/>
          <w:sz w:val="18"/>
        </w:rPr>
        <w:t>https://pubmed.ncbi.nlm.nih.gov/42804077/</w:t>
      </w:r>
    </w:p>
    <w:p>
      <w:pPr>
        <w:pStyle w:val="Heading2"/>
      </w:pPr>
      <w:r>
        <w:t>PAH-Belastung in Schulen und Wohnungen europäischer Großstädte</w:t>
      </w:r>
    </w:p>
    <w:p>
      <w:r>
        <w:rPr>
          <w:i/>
          <w:color w:val="666666"/>
          <w:sz w:val="18"/>
        </w:rPr>
        <w:t>Aretaki MA et al.  ·  Environ Res  ·  01.11.2026  ·  PMID 42705444</w:t>
      </w:r>
    </w:p>
    <w:p>
      <w:r>
        <w:t>Eine europäische Multizenterstudie bestimmte PAH-Konzentrationen in der Innenraumluft von Schulen, Wohnungen und Sporthallen in sechs Städten (Athen, Barcelona, Colchester, Kopenhagen, Helsinki, Lissabon) und schätzte das Krebsrisiko für Kinder.</w:t>
      </w:r>
    </w:p>
    <w:p>
      <w:r>
        <w:rPr>
          <w:b/>
        </w:rPr>
        <w:t xml:space="preserve">Ergebnis: </w:t>
      </w:r>
      <w:r>
        <w:t>Höchste Median-PAH-Konzentrationen (&gt;50.000 pg/m³) in Schulen und Wohnungen waren mit intensiver lokaler Holzverbrennung verknüpft. Das geschätzte Überschusskrebs-Risiko für eine fünfjährige Primärschul-Expositionsperiode (ECR5) lag über alle Standorte zwischen 10⁻⁸ und 10⁻⁵ und blieb unter dem Schwellwert von 10⁻⁴. Hochmolekulare PAHs waren in Schulen höher als in Wohnungen, niedermolekulare dagegen in Wohnungen dominanter.</w:t>
      </w:r>
    </w:p>
    <w:p>
      <w:r>
        <w:rPr>
          <w:b/>
          <w:sz w:val="19"/>
        </w:rPr>
        <w:t xml:space="preserve">Übertragbarkeit: </w:t>
      </w:r>
      <w:r>
        <w:rPr>
          <w:sz w:val="19"/>
        </w:rPr>
        <w:t>Europäische Daten, gemäßigte Klimazone, mehrere Länder mit unterschiedlicher Heizpraxis.</w:t>
      </w:r>
    </w:p>
    <w:p>
      <w:r>
        <w:rPr>
          <w:color w:val="5A7D3A"/>
          <w:sz w:val="18"/>
        </w:rPr>
        <w:t>https://pubmed.ncbi.nlm.nih.gov/42705444/</w:t>
      </w:r>
    </w:p>
    <w:p>
      <w:pPr>
        <w:pStyle w:val="Heading1"/>
      </w:pPr>
      <w:r>
        <w:t>Aufgenommen am 11.10.2026</w:t>
      </w:r>
    </w:p>
    <w:p>
      <w:pPr>
        <w:pStyle w:val="Heading2"/>
      </w:pPr>
      <w:r>
        <w:t>Flaschenfütterung und Schnuller erhöhen Atemwegsinfekt-Risiko bei Säuglingen</w:t>
      </w:r>
    </w:p>
    <w:p>
      <w:r>
        <w:rPr>
          <w:i/>
          <w:color w:val="666666"/>
          <w:sz w:val="18"/>
        </w:rPr>
        <w:t>Veerajitt P et al.  ·  J Trop Pediatr  ·  09.10.2026  ·  PMID 42854097</w:t>
      </w:r>
    </w:p>
    <w:p>
      <w:r>
        <w:t>Prospektive Kohortenstudie in Südthailand zu modifizierbaren Verhaltensfaktoren für akute Atemwegsinfekte bei Säuglingen in den ersten 12 Lebensmonaten.</w:t>
      </w:r>
    </w:p>
    <w:p>
      <w:r>
        <w:rPr>
          <w:b/>
        </w:rPr>
        <w:t xml:space="preserve">Ergebnis: </w:t>
      </w:r>
      <w:r>
        <w:t>Von 671 Säuglingen erlebten 40,3% (271) mindestens einen Atemwegsinfekt zwischen 6–12 Monaten, 69,7% nur einen. Flaschenfütterung in den ersten 6 Monaten assoziiert mit erhöhtem Risiko (IRR = 1,37; 95%-KI: 1,05–1,82; p = 0,025); Risiko stieg mit Dauer der Flaschenfütterung. Ähnlicher Trend mit Schnullergebrauch (IRR = 1,33; 95%-KI: 1,02–1,71; p = 0,031) – 37% bzw. 33% Risikoerhöhung. Stillen und Passivrauchexposition zeigten keine signifikanten Assoziationen.</w:t>
      </w:r>
    </w:p>
    <w:p>
      <w:r>
        <w:rPr>
          <w:b/>
          <w:sz w:val="19"/>
        </w:rPr>
        <w:t xml:space="preserve">Übertragbarkeit: </w:t>
      </w:r>
      <w:r>
        <w:rPr>
          <w:sz w:val="19"/>
        </w:rPr>
        <w:t>Tropisches Klima; Prävention modifizierbarer Verhaltensfaktoren nicht klimazonen-abhängig.</w:t>
      </w:r>
    </w:p>
    <w:p>
      <w:r>
        <w:rPr>
          <w:color w:val="5A7D3A"/>
          <w:sz w:val="18"/>
        </w:rPr>
        <w:t>https://pubmed.ncbi.nlm.nih.gov/42854097/</w:t>
      </w:r>
    </w:p>
    <w:p>
      <w:pPr>
        <w:pStyle w:val="Heading2"/>
      </w:pPr>
      <w:r>
        <w:t>Aedes albopictus: Klimawandel erhöht Ausbruchsrisiko in gemäßigten Zonen</w:t>
      </w:r>
    </w:p>
    <w:p>
      <w:r>
        <w:rPr>
          <w:i/>
          <w:color w:val="666666"/>
          <w:sz w:val="18"/>
        </w:rPr>
        <w:t>Kumar S et al.  ·  Indian J Med Res  ·  Aug. 2026  ·  PMID 42851228</w:t>
      </w:r>
    </w:p>
    <w:p>
      <w:r>
        <w:t>Systematische Übersichtsarbeit zu Invasionsbiologie, Vektorkompetenz und Ausbreitungsdynamik der Asiatischen Tigermücke und ihrer Rolle bei Arbovirus-Übertragung unter Klimawandel.</w:t>
      </w:r>
    </w:p>
    <w:p>
      <w:r>
        <w:rPr>
          <w:b/>
        </w:rPr>
        <w:t xml:space="preserve">Ergebnis: </w:t>
      </w:r>
      <w:r>
        <w:t>Aedes albopictus ist weniger kompetent als Ae. aegypti für Arbovirus-Transmission; Temperatur bestimmt maßgeblich Larvenentwicklung, Überlebensfähigkeit, Stechfrequenz und externe Inkubationszeit. Klimawandel wird geografische Reichweite in gemäßigte Regionen ausweiten und Transmissionspotenzial verstärken – nicht nur geografische Ausbreitung. Vertikaltransmission erhält Persistenz zwischen Epidemien.</w:t>
      </w:r>
    </w:p>
    <w:p>
      <w:r>
        <w:rPr>
          <w:b/>
          <w:sz w:val="19"/>
        </w:rPr>
        <w:t xml:space="preserve">Übertragbarkeit: </w:t>
      </w:r>
      <w:r>
        <w:rPr>
          <w:sz w:val="19"/>
        </w:rPr>
        <w:t>Gemäßigte Breiten (Deutschland): Klimawandel wird Mückenareal ausdehnen.</w:t>
      </w:r>
    </w:p>
    <w:p>
      <w:r>
        <w:rPr>
          <w:color w:val="5A7D3A"/>
          <w:sz w:val="18"/>
        </w:rPr>
        <w:t>https://pubmed.ncbi.nlm.nih.gov/42851228/</w:t>
      </w:r>
    </w:p>
    <w:p>
      <w:pPr>
        <w:pStyle w:val="Heading2"/>
      </w:pPr>
      <w:r>
        <w:t>Ruß-Sterblichkeit in China: Unterschätzung um das Doppelte</w:t>
      </w:r>
    </w:p>
    <w:p>
      <w:r>
        <w:rPr>
          <w:i/>
          <w:color w:val="666666"/>
          <w:sz w:val="18"/>
        </w:rPr>
        <w:t>Xu H et al.  ·  Nat Commun  ·  07.09.2026  ·  PMID 42844301</w:t>
      </w:r>
    </w:p>
    <w:p>
      <w:r>
        <w:t>Studie zur Hitzesterblichkeit durch Black Carbon (Rußpartikel) unter Chinas Dekarbonisierungsstrategie mit Neubewertung der Gesundheitsauswirkungen.</w:t>
      </w:r>
    </w:p>
    <w:p>
      <w:r>
        <w:rPr>
          <w:b/>
        </w:rPr>
        <w:t xml:space="preserve">Ergebnis: </w:t>
      </w:r>
      <w:r>
        <w:t>In China wurden 2015 über 540.000 vorzeitige Todesfälle durch Black-Carbon-Exposition zugeordnet – mehr als doppelt so hoch wie bisherige Angaben. Die CMIP6-Inventare unterschätzen die Gesundheitslast systematisch, während sie das Klimamilderungspotenzial um 45% überschätzen. Demografische Alterung könnte künftig Gesundheitsgewinne durch Emissionsreduktionen ausgleichen.</w:t>
      </w:r>
    </w:p>
    <w:p>
      <w:r>
        <w:rPr>
          <w:b/>
          <w:sz w:val="19"/>
        </w:rPr>
        <w:t xml:space="preserve">Übertragbarkeit: </w:t>
      </w:r>
      <w:r>
        <w:rPr>
          <w:sz w:val="19"/>
        </w:rPr>
        <w:t>Tropen, andere Luftqualitätsbedingungen; nur Methodik der Neubewertung relevant.</w:t>
      </w:r>
    </w:p>
    <w:p>
      <w:r>
        <w:rPr>
          <w:color w:val="5A7D3A"/>
          <w:sz w:val="18"/>
        </w:rPr>
        <w:t>https://pubmed.ncbi.nlm.nih.gov/42844301/</w:t>
      </w:r>
    </w:p>
    <w:p>
      <w:pPr>
        <w:pStyle w:val="Heading2"/>
      </w:pPr>
      <w:r>
        <w:t>Luftverschmutzungs-Atlanten: Vergleich verfügbarer Online-Plattformen</w:t>
      </w:r>
    </w:p>
    <w:p>
      <w:r>
        <w:rPr>
          <w:i/>
          <w:color w:val="666666"/>
          <w:sz w:val="18"/>
        </w:rPr>
        <w:t>Davoli E et al.  ·  Epidemiol Prev  ·  Juli 2026  ·  PMID 42836288</w:t>
      </w:r>
    </w:p>
    <w:p>
      <w:r>
        <w:t>Explorative Web-Review zur Identifikation und Bewertung öffentlich verfügbarer Online-Atlanten und interaktiver Karten zu Luftverschmutzung und Gesundheitsfolgen in Europa.</w:t>
      </w:r>
    </w:p>
    <w:p>
      <w:r>
        <w:rPr>
          <w:b/>
        </w:rPr>
        <w:t xml:space="preserve">Ergebnis: </w:t>
      </w:r>
      <w:r>
        <w:t>Von 1.000 gescreenten Websites erfüllten 8 die Einschlusskriterien; alle zeigten Feinstaubbelastung (PM2.5/PM10), Stickstoffdioxid und Ozon waren seltener verfügbar. Sechs Websites enthielten Dosis-Wirkungs-Schätzungen für Outcomes (meist Allsterblichkeit); nur zwei berichteten spezifische Mortalität (respiratorisch, kardiovaskulär, Krebs), keine zeigten Hospitalisierungen. Große Variabilität in Interaktivität, Lesbarkeit und Transparenz. Schlussfolgerung: Bestehende Plattformen zeigen Heterogenität – klare, transparente visuelle Kommunikation könnte Nutzbarkeit für Entscheidungsträger und Fachleute erhöhen.</w:t>
      </w:r>
    </w:p>
    <w:p>
      <w:r>
        <w:rPr>
          <w:b/>
          <w:sz w:val="19"/>
        </w:rPr>
        <w:t xml:space="preserve">Übertragbarkeit: </w:t>
      </w:r>
      <w:r>
        <w:rPr>
          <w:sz w:val="19"/>
        </w:rPr>
        <w:t>Italien, Europa; deutsche Atlanten-Standards anwendbar.</w:t>
      </w:r>
    </w:p>
    <w:p>
      <w:r>
        <w:rPr>
          <w:color w:val="5A7D3A"/>
          <w:sz w:val="18"/>
        </w:rPr>
        <w:t>https://pubmed.ncbi.nlm.nih.gov/42836288/</w:t>
      </w:r>
    </w:p>
    <w:p>
      <w:pPr>
        <w:pStyle w:val="Heading2"/>
      </w:pPr>
      <w:r>
        <w:t>Dengue-Früwarnsysteme: Barrieren für proaktive Bekämpfung in Vietnam</w:t>
      </w:r>
    </w:p>
    <w:p>
      <w:r>
        <w:rPr>
          <w:i/>
          <w:color w:val="666666"/>
          <w:sz w:val="18"/>
        </w:rPr>
        <w:t>Do KQ et al.  ·  PLoS Negl Trop Dis  ·  25.09.2026  ·  PMID 42789674</w:t>
      </w:r>
    </w:p>
    <w:p>
      <w:r>
        <w:t>Qualitative Studie mit Interviews zu Umsetzungshindernissen von Früwarnsystemen für die vektorgesteuerte Dengue-Prävention aus Sicht lokaler Akteure in Vietnam.</w:t>
      </w:r>
    </w:p>
    <w:p>
      <w:r>
        <w:rPr>
          <w:b/>
        </w:rPr>
        <w:t xml:space="preserve">Ergebnis: </w:t>
      </w:r>
      <w:r>
        <w:t>Hauptbarrieren: fehlende unterstützende Richtlinien, begrenzte Stakeholder-Beteiligung durch niedriges Verständnis von Früwarnsystemkonzepten, operative Herausforderungen, Wahrnehmung dass Dengue-Risiken nur während der Regenzeit existieren, sozioökonomische Engpässe und extreme Wetterereignisse. Die Erkenntnisse zeigen, dass Früwarnmeldungen allein nicht ausreichen, um proaktive Vektorkontrolle zu bewirken.</w:t>
      </w:r>
    </w:p>
    <w:p>
      <w:r>
        <w:rPr>
          <w:b/>
          <w:sz w:val="19"/>
        </w:rPr>
        <w:t xml:space="preserve">Übertragbarkeit: </w:t>
      </w:r>
      <w:r>
        <w:rPr>
          <w:sz w:val="19"/>
        </w:rPr>
        <w:t>Klimawandel verschärft Dengue in Tropen; Methodik der Implementierungsforschung auf Deutschland übertragbar.</w:t>
      </w:r>
    </w:p>
    <w:p>
      <w:r>
        <w:rPr>
          <w:color w:val="5A7D3A"/>
          <w:sz w:val="18"/>
        </w:rPr>
        <w:t>https://pubmed.ncbi.nlm.nih.gov/42789674/</w:t>
      </w:r>
    </w:p>
    <w:p>
      <w:pPr>
        <w:pStyle w:val="Heading2"/>
      </w:pPr>
      <w:r>
        <w:t>Klimaresiliente Krankenhäuser im Libanon: nationale Standards entwickelt</w:t>
      </w:r>
    </w:p>
    <w:p>
      <w:r>
        <w:rPr>
          <w:i/>
          <w:color w:val="666666"/>
          <w:sz w:val="18"/>
        </w:rPr>
        <w:t>Matta E et al.  ·  Int J Qual Health Care  ·  05.10.2026  ·  PMID 42788343</w:t>
      </w:r>
    </w:p>
    <w:p>
      <w:r>
        <w:t>Multiphase-Studie zur Entwicklung national angepasster Standards für klimaresiliente Krankenhäuser im Libanon durch Stakeholder-Konsultationen und Abgleich mit internationaler Guidance.</w:t>
      </w:r>
    </w:p>
    <w:p>
      <w:r>
        <w:rPr>
          <w:b/>
        </w:rPr>
        <w:t xml:space="preserve">Ergebnis: </w:t>
      </w:r>
      <w:r>
        <w:t>Es wurden 10 thematische Bereiche mit Standards definiert: Governance, Umweltmanagement, Notfallvorbereitung, Community Engagement, nachhaltige Beschaffung, Monitoring. Rechtliche Überprüfung ermöglichte Phaseneinteilung in Compliance-erforderliche Sofortmaßnahmen versus längerfristige strategische Verbesserungen. Implementierungsbewertung zeigte, dass Standards Lücken-Analyse, Kostenabschätzung und Priorisierung von Klimaresilience-Investitionen auf Einrichtungsebene ermöglichen.</w:t>
      </w:r>
    </w:p>
    <w:p>
      <w:r>
        <w:rPr>
          <w:b/>
          <w:sz w:val="19"/>
        </w:rPr>
        <w:t xml:space="preserve">Übertragbarkeit: </w:t>
      </w:r>
      <w:r>
        <w:rPr>
          <w:sz w:val="19"/>
        </w:rPr>
        <w:t>Mittlerer Osten; Methodik für Gesundheitssystem-Anpassung relevant, nicht absolute Maßstäbe.</w:t>
      </w:r>
    </w:p>
    <w:p>
      <w:r>
        <w:rPr>
          <w:color w:val="5A7D3A"/>
          <w:sz w:val="18"/>
        </w:rPr>
        <w:t>https://pubmed.ncbi.nlm.nih.gov/42788343/</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2026-10-20T06:00:00Z</dcterms:created>
  <dcterms:modified xsi:type="dcterms:W3CDTF">2026-10-20T06:00:00Z</dcterms:modified>
  <cp:category/>
</cp:coreProperties>
</file>