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30.09.2026  |  6 Studien  |  klima.m-vf.de</w:t>
      </w:r>
    </w:p>
    <w:p>
      <w:pPr>
        <w:pStyle w:val="Heading1"/>
      </w:pPr>
      <w:r>
        <w:t>Aufgenommen am 30.09.2026</w:t>
      </w:r>
    </w:p>
    <w:p>
      <w:pPr>
        <w:pStyle w:val="Heading2"/>
      </w:pPr>
      <w:r>
        <w:t>Evakuierungsherausforderungen bei Flutkatastrophen: Grundschüler und Familien in Japan</w:t>
      </w:r>
    </w:p>
    <w:p>
      <w:r>
        <w:rPr>
          <w:i/>
          <w:color w:val="666666"/>
          <w:sz w:val="18"/>
        </w:rPr>
        <w:t>Inoue S et al.  ·  Disaster Med Public Health Prep  ·  29.09.2026  ·  PMID 42808581</w:t>
      </w:r>
    </w:p>
    <w:p>
      <w:r>
        <w:t>Qualitative Studie mit 8 Eltern von 9 Grundschülern zu Herausforderungen und Unterstützungsbedarfen bei Flutevakuierung mittels semi-strukturierter Interviews und reflexiver thematischer Analyse.</w:t>
      </w:r>
    </w:p>
    <w:p>
      <w:r>
        <w:rPr>
          <w:b/>
        </w:rPr>
        <w:t xml:space="preserve">Ergebnis: </w:t>
      </w:r>
      <w:r>
        <w:t>Fünf Hauptthemen mit 111 Codes: Katastrophenvorsorge (22,5%), Evakuierungsunterstützung (16,2%), Materialsupport in Notunterkünften (22,5%), Umweltunterstützung in Notunterkünften (22,5%), Katastrophenreaktion (16,2%). Bedarf: bessere Familienplanung, kinderfreundliche Unterkünfte, effektive Informationssysteme, Zusammenarbeit Schulen-Familien-Gemeinden.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qualitative Studie, Prinzipien für kindgerechte Notfallplanung auf gemäßigte Zonen übertragbar</w:t>
      </w:r>
    </w:p>
    <w:p>
      <w:r>
        <w:rPr>
          <w:color w:val="5A7D3A"/>
          <w:sz w:val="18"/>
        </w:rPr>
        <w:t>https://pubmed.ncbi.nlm.nih.gov/42808581/</w:t>
      </w:r>
    </w:p>
    <w:p>
      <w:pPr>
        <w:pStyle w:val="Heading2"/>
      </w:pPr>
      <w:r>
        <w:t>PM2.5-Exposition und Herzinsuffizienz: Risiken in gemäßigten Klimazonen</w:t>
      </w:r>
    </w:p>
    <w:p>
      <w:r>
        <w:rPr>
          <w:i/>
          <w:color w:val="666666"/>
          <w:sz w:val="18"/>
        </w:rPr>
        <w:t>Wang L et al.  ·  Front Public Health  ·  14.09.2026  ·  PMID 42807448</w:t>
      </w:r>
    </w:p>
    <w:p>
      <w:r>
        <w:t>Prospektive Kohorte von 149.410 UK-Biobank-Teilnehmern untersuchte die Assoziation zwischen langfristiger PM2.5-Exposition und Herzinsuffizienzrisiko über 17,6 Jahre Nachbeobachtung.</w:t>
      </w:r>
    </w:p>
    <w:p>
      <w:r>
        <w:rPr>
          <w:b/>
        </w:rPr>
        <w:t xml:space="preserve">Ergebnis: </w:t>
      </w:r>
      <w:r>
        <w:t>Pro IQR-Anstieg der PM2.5-Exposition erhöhtes Herzinsuffizienzrisiko (HR 1,045, 95%-KI 1,005–1,086, p=0,027); höchstes versus niedrigstes PM2.5-Quartil zeigte HR 1,133 (95%-KI 1,037–1,238). 4.964 Herzinsuffizienzfälle während des Follow-up; absolute Risikodifferenz über 20 Jahre etwa 0,2 pro 100 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gemäßigte Klimazone, direkter Klimabezug über Luftqualität</w:t>
      </w:r>
    </w:p>
    <w:p>
      <w:r>
        <w:rPr>
          <w:color w:val="5A7D3A"/>
          <w:sz w:val="18"/>
        </w:rPr>
        <w:t>https://pubmed.ncbi.nlm.nih.gov/42807448/</w:t>
      </w:r>
    </w:p>
    <w:p>
      <w:pPr>
        <w:pStyle w:val="Heading2"/>
      </w:pPr>
      <w:r>
        <w:t>Luftverschmutzung und Kosten der Herzinfarktbehandlung in chinesischer Großstadt mit DRG-Finanzierung</w:t>
      </w:r>
    </w:p>
    <w:p>
      <w:r>
        <w:rPr>
          <w:i/>
          <w:color w:val="666666"/>
          <w:sz w:val="18"/>
        </w:rPr>
        <w:t>Lin J et al.  ·  Front Public Health  ·  14.09.2026  ·  PMID 42807093</w:t>
      </w:r>
    </w:p>
    <w:p>
      <w:r>
        <w:t>Retrospektive Kohorte von 3.650 PCI-behandelten Akutmyokardinfarkt-Patienten in subtropischer chinesischer Stadt (2018–2024) zur Assoziation 0–6-tägiger Luftschadstoff-Exposition mit Hospitalisierungskosten.</w:t>
      </w:r>
    </w:p>
    <w:p>
      <w:r>
        <w:rPr>
          <w:b/>
        </w:rPr>
        <w:t xml:space="preserve">Ergebnis: </w:t>
      </w:r>
      <w:r>
        <w:t>SO2 größte Kostensteigerung: durchschnittlich 2,40% (~729 CNY) pro natürlichem log-Anstieg, konsistent über alle Lag-Tage; PM2.5/PM10 verzögerter Peak bei Lag 4–5 Tagen; NO2 und CO signifikant; Ozon ohne Gesamteffekt. Bei Nicht-Rauchern Ozon-Effekt bei Lag 3 und 5. Niedriges Verschmutzungsniveau (China Grad II), aber Effekt nachweisbar.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Subtropische Stadt (China), Finanzierungssystem unterschiedlich, Methodik und Befund zu niedriger Belastung übertragbar</w:t>
      </w:r>
    </w:p>
    <w:p>
      <w:r>
        <w:rPr>
          <w:color w:val="5A7D3A"/>
          <w:sz w:val="18"/>
        </w:rPr>
        <w:t>https://pubmed.ncbi.nlm.nih.gov/42807093/</w:t>
      </w:r>
    </w:p>
    <w:p>
      <w:pPr>
        <w:pStyle w:val="Heading2"/>
      </w:pPr>
      <w:r>
        <w:t>Umwelt und Gesundheit: Sicherheit und Resilienz – Positionspapier der Kommission Environmental Public Health</w:t>
      </w:r>
    </w:p>
    <w:p>
      <w:r>
        <w:rPr>
          <w:i/>
          <w:color w:val="666666"/>
          <w:sz w:val="18"/>
        </w:rPr>
        <w:t>Peters A et al.  ·  Bundesgesundheitsblatt Gesundheitsforschung Gesundheitsschutz  ·  24.09.2026  ·  PMID 42782533</w:t>
      </w:r>
    </w:p>
    <w:p>
      <w:r>
        <w:t>Stellungnahme der Umwelt-Public-Health-Kommission zu Klimawandel, Luftschadstoffe und Biodiversität als zentrale Determinanten von Gesundheit und gesellschaftlicher Resilienz.</w:t>
      </w:r>
    </w:p>
    <w:p>
      <w:r>
        <w:rPr>
          <w:b/>
        </w:rPr>
        <w:t xml:space="preserve">Ergebnis: </w:t>
      </w:r>
      <w:r>
        <w:t>Haupterkenntnis: Intakte Umwelt ist zentrale Gesundheitsressource; Klima-, Luft- und Biodiversitätskrisen erfordern sektorenübergreifende Zusammenarbeit. Konkrete Empfehlungen zur Sicherung und Fortführung der Kooperation zwischen Umwelt- und Gesundheitssektor.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Expertenpapier der Kommission Environmental Public Health, direkt auf deutsche Verhältnisse anwendbar</w:t>
      </w:r>
    </w:p>
    <w:p>
      <w:r>
        <w:rPr>
          <w:color w:val="5A7D3A"/>
          <w:sz w:val="18"/>
        </w:rPr>
        <w:t>https://pubmed.ncbi.nlm.nih.gov/42782533/</w:t>
      </w:r>
    </w:p>
    <w:p>
      <w:pPr>
        <w:pStyle w:val="Heading2"/>
      </w:pPr>
      <w:r>
        <w:t>Feinstaub und Lebenszufriedenheit: Genetische und Umweltfaktoren in Zwillingspaaren</w:t>
      </w:r>
    </w:p>
    <w:p>
      <w:r>
        <w:rPr>
          <w:i/>
          <w:color w:val="666666"/>
          <w:sz w:val="18"/>
        </w:rPr>
        <w:t>Aretaki MA et al.  ·  Environ Res  ·  01.11.2026  ·  PMID 42705444</w:t>
      </w:r>
    </w:p>
    <w:p>
      <w:r>
        <w:t>Analyse von 4.504 jungen Erwachsenen Zwillingspaaren (TwinLife-Studie 2014–2022) zur Aufteilung der PM2.5/PM10-Effekte auf Lebenszufriedenheit in familiengebundene versus individuelle Faktoren.</w:t>
      </w:r>
    </w:p>
    <w:p>
      <w:r>
        <w:rPr>
          <w:b/>
        </w:rPr>
        <w:t xml:space="preserve">Ergebnis: </w:t>
      </w:r>
      <w:r>
        <w:t>PM2.5- und PM10-Effekt auf Lebenszufriedenheit lief zwischen Familien (b=−0,05 bis −0,06, SE=0,01, p&lt;0,001), nicht innerhalb; deutet auf gemeinsame Faktoren (SES, Nachbarschaft). Effekt von PM10 verstärkte sich mit Alter und Messjahr. Innerhalb monozygotischer Zwillinge marginal signifikant für PM10 (b=−0,09, SE=0,04, p=0,04), nicht für PM2.5.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TwinLife-Kohorte, gemäßigte Klimazone, psychosoziale Effekte von Luftqualität</w:t>
      </w:r>
    </w:p>
    <w:p>
      <w:r>
        <w:rPr>
          <w:color w:val="5A7D3A"/>
          <w:sz w:val="18"/>
        </w:rPr>
        <w:t>https://pubmed.ncbi.nlm.nih.gov/42705444/</w:t>
      </w:r>
    </w:p>
    <w:p>
      <w:pPr>
        <w:pStyle w:val="Heading2"/>
      </w:pPr>
      <w:r>
        <w:t>PM10-Neurotoxizität: Unterschiedliche Pfade in Katalanien (Holz vs. Verkehr)</w:t>
      </w:r>
    </w:p>
    <w:p>
      <w:r>
        <w:rPr>
          <w:i/>
          <w:color w:val="666666"/>
          <w:sz w:val="18"/>
        </w:rPr>
        <w:t>Ayala E et al.  ·  Environ Pollut  ·  01.11.2026  ·  PMID 42600830</w:t>
      </w:r>
    </w:p>
    <w:p>
      <w:r>
        <w:t>Analyse von 54 PM10-Proben aus ländlichem und vorstädtischem Katalanien auf organische Marker und neurotoxische Potenziale mit Zellkultur-Screening (SH-SY5Y Neuroblastomzellen).</w:t>
      </w:r>
    </w:p>
    <w:p>
      <w:r>
        <w:rPr>
          <w:b/>
        </w:rPr>
        <w:t xml:space="preserve">Ergebnis: </w:t>
      </w:r>
      <w:r>
        <w:t>Vier Komponenten identifiziert: Biomasse-Verbrennung (Winter) zeigte stärkste Zytotoxizität und oxidativen Stress (ROS, p53-Aktivierung, R²CV≥0,62); Verkehrskomponente ganzjährig; SOA-Komponente mit selektiver Acetylcholinesterase-Hemmung ohne Zytotoxizität. Biomasse-Marker und PAHs waren Hauptprädiktoren für oxidativen Stress.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(Katalanien), Methodik übertragbar, Temperaturen/Biomasse-Verbrennung anders als Deutschland</w:t>
      </w:r>
    </w:p>
    <w:p>
      <w:r>
        <w:rPr>
          <w:color w:val="5A7D3A"/>
          <w:sz w:val="18"/>
        </w:rPr>
        <w:t>https://pubmed.ncbi.nlm.nih.gov/42600830/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2026-09-30T06:00:00Z</dcterms:created>
  <dcterms:modified xsi:type="dcterms:W3CDTF">2026-09-30T06:00:00Z</dcterms:modified>
  <cp:category/>
</cp:coreProperties>
</file>