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09.10.2026  |  5 Studien  |  klima.m-vf.de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Gesundheitsframing bei Klimakommunikation: systematische Übersicht von 54 Studien</w:t>
      </w:r>
    </w:p>
    <w:p>
      <w:r>
        <w:rPr>
          <w:i/>
          <w:color w:val="666666"/>
          <w:sz w:val="18"/>
        </w:rPr>
        <w:t>Chan FHF et al.  ·  Ann Behav Med  ·  07.01.2026  ·  PMID 42847353</w:t>
      </w:r>
    </w:p>
    <w:p>
      <w:r>
        <w:t>Systematische Übersicht mit qualitativer Synthese von 46 Studien (54 Studiendesigns) zu Wirksamkeit von gesundheitsgerahmten Umweltbotschaften auf Wahrnehmung und Verhalten.</w:t>
      </w:r>
    </w:p>
    <w:p>
      <w:r>
        <w:rPr>
          <w:b/>
        </w:rPr>
        <w:t xml:space="preserve">Ergebnis: </w:t>
      </w:r>
      <w:r>
        <w:t>Gesundheitsgerahmte Botschaften (Gewinnframing, Mitigation-Nutzen) wurden als klar und hilfreich wahrgenommen, erhöhten Bedrohungswahrnehmung, Politikunterstützung und schützende Absichten. Effekte auf nachhaltige Lebensstiländerungen und Advocacy-Verhalten waren weniger konsistent. Über 180.000 Teilnehmer: Botschaften steigerten Sorge und Politikunterstützung, führten aber selten zu konkreten Verhaltensänderungen.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englischsprachige Hocheinkommensländer, Methodik zur Risikokommunikation in Deutschland relevant</w:t>
      </w:r>
    </w:p>
    <w:p>
      <w:r>
        <w:rPr>
          <w:color w:val="5A7D3A"/>
          <w:sz w:val="18"/>
        </w:rPr>
        <w:t>https://pubmed.ncbi.nlm.nih.gov/42847353/</w:t>
      </w:r>
    </w:p>
    <w:p>
      <w:pPr>
        <w:pStyle w:val="Heading2"/>
      </w:pPr>
      <w:r>
        <w:t>Von El-Niño-Vorhersagen zu Gesundheitsmaßnahmen: ein Forecast-to-Action-Rahmen</w:t>
      </w:r>
    </w:p>
    <w:p>
      <w:r>
        <w:rPr>
          <w:i/>
          <w:color w:val="666666"/>
          <w:sz w:val="18"/>
        </w:rPr>
        <w:t>Bajrai LH et al.  ·  Front Public Health  ·  23.09.2026  ·  PMID 42845914</w:t>
      </w:r>
    </w:p>
    <w:p>
      <w:r>
        <w:t>Perspektive-Artikel schlägt ein adaptives Rahmenwerk vor, das ENSO-Vorhersagen (El Niño) mit regionalen Klimaprognosen und lokalem Gesundheitsrisikomanagement verknüpft.</w:t>
      </w:r>
    </w:p>
    <w:p>
      <w:r>
        <w:rPr>
          <w:b/>
        </w:rPr>
        <w:t xml:space="preserve">Ergebnis: </w:t>
      </w:r>
      <w:r>
        <w:t>Drei-Ebenen-Modell: ENSO-Vorhersage, regionale Klimaprognose, Gesundheitsrisikoprognose. Zentrale Empfehlung: El-Niño-Vorhersage sollte strukturierte Risikobewertung einleiten, nicht automatisch Interventionen triggern. Entscheidungen sollten Vorhersagewahrscheinlichkeit, regionale Epidemiologie, Verwundbarkeit und Interventionswirksamkeit integrieren.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Prinzipien für Klimafrühwarnsysteme und Adaptation prinzipiell übertragbar, aber auf tropische/subtropische Systeme fokussiert</w:t>
      </w:r>
    </w:p>
    <w:p>
      <w:r>
        <w:rPr>
          <w:color w:val="5A7D3A"/>
          <w:sz w:val="18"/>
        </w:rPr>
        <w:t>https://pubmed.ncbi.nlm.nih.gov/42845914/</w:t>
      </w:r>
    </w:p>
    <w:p>
      <w:pPr>
        <w:pStyle w:val="Heading2"/>
      </w:pPr>
      <w:r>
        <w:t>Innenraum-PM2.5 und Sterblichkeit bei älteren Erwachsenen in China: Kohortenstudie mit Komponentenanalyse</w:t>
      </w:r>
    </w:p>
    <w:p>
      <w:r>
        <w:rPr>
          <w:i/>
          <w:color w:val="666666"/>
          <w:sz w:val="18"/>
        </w:rPr>
        <w:t>Wen Y et al.  ·  BMC Public Health  ·  07.09.2026  ·  PMID 42844605</w:t>
      </w:r>
    </w:p>
    <w:p>
      <w:r>
        <w:t>Prospektive Kohortenstudie mit 12.607 älteren Teilnehmern (Alter ≥75 Jahre) zur Assoziation zwischen Innenraum-PM2.5, seinen Bestandteilen und Gesamt-Mortalität über medianen 4,14-Jahre Follow-up.</w:t>
      </w:r>
    </w:p>
    <w:p>
      <w:r>
        <w:rPr>
          <w:b/>
        </w:rPr>
        <w:t xml:space="preserve">Ergebnis: </w:t>
      </w:r>
      <w:r>
        <w:t>8.643 Todesfälle dokumentiert. PM2.5 um 1 µg/m³ erhöht Mortalitätsrisiko um 0,3% (HR = 1,003; 95%-KI: 1,001–1,005). Schwarzkohlenstoff (BC) zeigte stärksten Effekt: +7,2% pro 1 µg/m³ (HR = 1,072; 95%-KI: 1,035–1,111). Organische Stoffe und Sulfate ebenfalls signifikant. Nichtlineares Konzentrations-Risiko-Verhältnis.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andere Klimazone; aber Indoor-Exposition und Alter relevant für Deutschland, Methodik (nicht Schwellenwerte) übertragbar</w:t>
      </w:r>
    </w:p>
    <w:p>
      <w:r>
        <w:rPr>
          <w:color w:val="5A7D3A"/>
          <w:sz w:val="18"/>
        </w:rPr>
        <w:t>https://pubmed.ncbi.nlm.nih.gov/42844605/</w:t>
      </w:r>
    </w:p>
    <w:p>
      <w:pPr>
        <w:pStyle w:val="Heading2"/>
      </w:pPr>
      <w:r>
        <w:t>Kokreation zur Entwicklung des Italienischen Atlante Aria und Salute</w:t>
      </w:r>
    </w:p>
    <w:p>
      <w:r>
        <w:rPr>
          <w:i/>
          <w:color w:val="666666"/>
          <w:sz w:val="18"/>
        </w:rPr>
        <w:t>Davoli E et al.  ·  Epidemiol Prev  ·  Juli 2026  ·  PMID 42836289</w:t>
      </w:r>
    </w:p>
    <w:p>
      <w:r>
        <w:t>Qualitative Studie: Delphi-Prozess mit Experten zur Festlegung von Inhalten eines nationalen Atlases für Luftverschmutzungs- und Gesundheitseffekte in Italien.</w:t>
      </w:r>
    </w:p>
    <w:p>
      <w:r>
        <w:rPr>
          <w:b/>
        </w:rPr>
        <w:t xml:space="preserve">Ergebnis: </w:t>
      </w:r>
      <w:r>
        <w:t>16–22 Experten über zwei Delphi-Runden. Konsens auf: PM2.5 und NO2 als Exposures, kommunale Auflösung, Mortalität und Krankenhausaufnahmen (natürlich, kardiovaskulär, zerebrovaskular, respiratorisch, Lungenkrebs) als Outcomes. Attributable Fraktionen gegen WHO-Guideline-Werte (5 µg/m³ PM2.5, 10 µg/m³ NO2) berechnet. Kokreativer Prozess sicherte breite Beteiligung bei wissenschaftlicher Evidenzkonsistenz.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Mitteleuropa, sehr hohes Übertragungspotential für deutsche Atlas-Entwicklung und Gesundheitsfolgenabschätzung</w:t>
      </w:r>
    </w:p>
    <w:p>
      <w:r>
        <w:rPr>
          <w:color w:val="5A7D3A"/>
          <w:sz w:val="18"/>
        </w:rPr>
        <w:t>https://pubmed.ncbi.nlm.nih.gov/42836289/</w:t>
      </w:r>
    </w:p>
    <w:p>
      <w:pPr>
        <w:pStyle w:val="Heading2"/>
      </w:pPr>
      <w:r>
        <w:t>Leishmaniasis in Südeuropa: Sozioökonomie und Immunstatus als Haupttreiber</w:t>
      </w:r>
    </w:p>
    <w:p>
      <w:r>
        <w:rPr>
          <w:i/>
          <w:color w:val="666666"/>
          <w:sz w:val="18"/>
        </w:rPr>
        <w:t>Wang D et al.  ·  PLoS Negl Trop Dis  ·  05.10.2026  ·  PMID 42832561</w:t>
      </w:r>
    </w:p>
    <w:p>
      <w:r>
        <w:t>Studie untersuchte Risikofaktoren für humane Leishmaniasis in fünf südeuropäischen Ländern mittels multivariater Analyse von Sozioökonomie, Immunstatus, Klima, Landnutzung und Ökologie.</w:t>
      </w:r>
    </w:p>
    <w:p>
      <w:r>
        <w:rPr>
          <w:b/>
        </w:rPr>
        <w:t xml:space="preserve">Ergebnis: </w:t>
      </w:r>
      <w:r>
        <w:t>Sozioökonomische Faktoren (Demografie, Beruf, Wohnbedingungen) waren stark mit Leishmaniasis-Inzidenz assoziiert, humane Immunsuppression hochkorreliert mit Risiko in Spanien und Italien. Klima grenzte leishmaniosefreie von endemischen Regionen ab. Klimawandel allein könnte die Ausbreitung in diesem Jahrhundert nicht vorantreiben.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Klimazone, strukturell ähnlich; Methodologie zu Risikogruppen übertragbar</w:t>
      </w:r>
    </w:p>
    <w:p>
      <w:r>
        <w:rPr>
          <w:color w:val="5A7D3A"/>
          <w:sz w:val="18"/>
        </w:rPr>
        <w:t>https://pubmed.ncbi.nlm.nih.gov/42832561/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