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05.09.2026  |  6 Studien  |  klima.m-vf.de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Feinstaub PM2,5 und Atemwegserkrankungen bei älteren Erwachsenen in Thailand</w:t>
      </w:r>
    </w:p>
    <w:p>
      <w:r>
        <w:rPr>
          <w:i/>
          <w:color w:val="666666"/>
          <w:sz w:val="18"/>
        </w:rPr>
        <w:t>Wangupadcha P et al.  ·  J Glob Health  ·  04.09.2026  ·  PMID 42693905</w:t>
      </w:r>
    </w:p>
    <w:p>
      <w:r>
        <w:t>Time-series-Studie mit 924 Atemwegs-Krankenbesuchen November 2023–März 2024 in Industrieregion Zentralthailands prüfte kurzfristige Effekte von PM2,5 auf Atemwegsmorbidität Älterer (≥60 J.).</w:t>
      </w:r>
    </w:p>
    <w:p>
      <w:r>
        <w:rPr>
          <w:b/>
        </w:rPr>
        <w:t xml:space="preserve">Ergebnis: </w:t>
      </w:r>
      <w:r>
        <w:t>Mittlere tägliche PM2,5 42,43 μg/m³ (SD=15,12), deutlich über WHO-Richtlinie. Positive Assoziation zu Atemwegsbesuchen über mehrere Lag-Tage, höchster Effekt bei Lag 4: +5,5 % pro 10 μg/m³ PM2,5 (IRR=1,055, 95%KI=0,995–1,119), nicht statistisch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Thailand-Kontext, niedrig-mittlere Einkommensgruppe, Methodik relevant, Schwellwerte nicht übertragbar</w:t>
      </w:r>
    </w:p>
    <w:p>
      <w:r>
        <w:rPr>
          <w:color w:val="5A7D3A"/>
          <w:sz w:val="18"/>
        </w:rPr>
        <w:t>https://pubmed.ncbi.nlm.nih.gov/42693905/</w:t>
      </w:r>
    </w:p>
    <w:p>
      <w:pPr>
        <w:pStyle w:val="Heading2"/>
      </w:pPr>
      <w:r>
        <w:t>Klimawandel und Dengue-Synchronisation in Brasilien modelliert</w:t>
      </w:r>
    </w:p>
    <w:p>
      <w:r>
        <w:rPr>
          <w:i/>
          <w:color w:val="666666"/>
          <w:sz w:val="18"/>
        </w:rPr>
        <w:t>Gabrick EC et al.  ·  J R Soc Interface  ·  26.08.2026  ·  PMID 42644447</w:t>
      </w:r>
    </w:p>
    <w:p>
      <w:r>
        <w:t>Epidemiologische Analyse von 74 Municipalities in Paraná (Südbrasiliens) 2010–2024 untersuchte, wie Klimafaktoren die zeitliche Koordination von Dengue-Ausbruchsereignissen verstärken.</w:t>
      </w:r>
    </w:p>
    <w:p>
      <w:r>
        <w:rPr>
          <w:b/>
        </w:rPr>
        <w:t xml:space="preserve">Ergebnis: </w:t>
      </w:r>
      <w:r>
        <w:t>Übergang von Niedrig- zu Hochübertragungsregimen war mit deutlich höherer Synchronisation verbunden. Klimaanomalien erhöhten Zahl permissiver Tage für Dengue-Transmission signifikant (p&lt;0,05); Egitationsmodelle zeigten zwei-stufigen Klimamechanismus mit Reduktion asynchroner Zustände und Entstehung synchronisierter Ausbrüche.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Südamerika-Studie, Tropen – Methodik zur Vorhersage von Vektor-Dynamiken übertragbar</w:t>
      </w:r>
    </w:p>
    <w:p>
      <w:r>
        <w:rPr>
          <w:color w:val="5A7D3A"/>
          <w:sz w:val="18"/>
        </w:rPr>
        <w:t>https://pubmed.ncbi.nlm.nih.gov/42644447/</w:t>
      </w:r>
    </w:p>
    <w:p>
      <w:pPr>
        <w:pStyle w:val="Heading2"/>
      </w:pPr>
      <w:r>
        <w:t>Risikobasierter Luftqualitätsindex für Deutschland entwickelt</w:t>
      </w:r>
    </w:p>
    <w:p>
      <w:r>
        <w:rPr>
          <w:i/>
          <w:color w:val="666666"/>
          <w:sz w:val="18"/>
        </w:rPr>
        <w:t>Ogurtsova K et al.  ·  Int J Hyg Environ Health  ·  28.07.2026  ·  PMID 42520453</w:t>
      </w:r>
    </w:p>
    <w:p>
      <w:r>
        <w:t>Deutsche Forschende entwickelten einen auf Gesundheitseffekten basierenden Luftqualitätsindex (AQI), der Schadstoffe nach ihrem Risiko gewichtet und stündliche Konzentrationen berücksichtigt.</w:t>
      </w:r>
    </w:p>
    <w:p>
      <w:r>
        <w:rPr>
          <w:b/>
        </w:rPr>
        <w:t xml:space="preserve">Ergebnis: </w:t>
      </w:r>
      <w:r>
        <w:t>Die neue Methode führte zu einer deutlichen Verschiebung von "sehr gut" zu "gut" und "moderat", besonders bei PM2,5 und Ozon (mit WHO-Richtlinien 2021 verankert). Die Implementierung könnte Risikowahrnehmung und Verhaltensänderungen zur Reduktion der Exposition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entwickelt für deutsche Monitoring-Stationen, direkt anwendbar</w:t>
      </w:r>
    </w:p>
    <w:p>
      <w:r>
        <w:rPr>
          <w:color w:val="5A7D3A"/>
          <w:sz w:val="18"/>
        </w:rPr>
        <w:t>https://pubmed.ncbi.nlm.nih.gov/42520453/</w:t>
      </w:r>
    </w:p>
    <w:p>
      <w:pPr>
        <w:pStyle w:val="Heading2"/>
      </w:pPr>
      <w:r>
        <w:t>Klimaunsicherheit beeinflusst Fertilitätswünsche in vier Ländern</w:t>
      </w:r>
    </w:p>
    <w:p>
      <w:r>
        <w:rPr>
          <w:i/>
          <w:color w:val="666666"/>
          <w:sz w:val="18"/>
        </w:rPr>
        <w:t>Aassve A et al.  ·  Proc Natl Acad Sci U S A  ·  04.08.2026  ·  PMID 42520122</w:t>
      </w:r>
    </w:p>
    <w:p>
      <w:r>
        <w:t>Querschnittsexperiment in Italien, Argentinien, USA und Deutschland (mit 1500+ Teilnehmern) untersuchte, wie makroökonomische Unsicherheit – inkl. Klimasorgen – Entscheidungen zur Elternschaft beeinflussen.</w:t>
      </w:r>
    </w:p>
    <w:p>
      <w:r>
        <w:rPr>
          <w:b/>
        </w:rPr>
        <w:t xml:space="preserve">Ergebnis: </w:t>
      </w:r>
      <w:r>
        <w:t>Über alle Länder hinweg war Haushaltseinkommen der stärkste Prädiktor (p&lt;0,001). Wahrnehmungen von makroökonomischer Stabilität, Klimaerwartungen, demokratischer Funktion und Frieden zeigten vergleichbar starke Effekte wie Wohneigentum und Kinderbetreuung – bedeutsamer als Geschlechterrollen-Einstellungen.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als Studienland inkludiert, direkte Übertragbarkeit auf deutsche Bevölkerung</w:t>
      </w:r>
    </w:p>
    <w:p>
      <w:r>
        <w:rPr>
          <w:color w:val="5A7D3A"/>
          <w:sz w:val="18"/>
        </w:rPr>
        <w:t>https://pubmed.ncbi.nlm.nih.gov/42520122/</w:t>
      </w:r>
    </w:p>
    <w:p>
      <w:pPr>
        <w:pStyle w:val="Heading2"/>
      </w:pPr>
      <w:r>
        <w:t>Prenatale Feinstaubbelastung und Plazenta-Biomarker in Barcelona</w:t>
      </w:r>
    </w:p>
    <w:p>
      <w:r>
        <w:rPr>
          <w:i/>
          <w:color w:val="666666"/>
          <w:sz w:val="18"/>
        </w:rPr>
        <w:t>Gómez-Herrera L et al.  ·  Int J Hyg Environ Health  ·  23.07.2026  ·  PMID 42492149</w:t>
      </w:r>
    </w:p>
    <w:p>
      <w:r>
        <w:t>Spanische Kohortenstudie mit 499 Schwangeren untersuchte Effekte von prenataler NO₂-, Rußkohlenstoff- und PM2,5-Exposition auf mitochondriale DNA und Telomerlänge in der Plazenta.</w:t>
      </w:r>
    </w:p>
    <w:p>
      <w:r>
        <w:rPr>
          <w:b/>
        </w:rPr>
        <w:t xml:space="preserve">Ergebnis: </w:t>
      </w:r>
      <w:r>
        <w:t>Erhöhte NO₂- und PM2,5-Werte während 1. und 3. Trimester sowie Rußkohlenstoff im 3. Trimester waren signifikant mit erhöhtem mitochondrialen DNA-Gehalt assoziiert (p&lt;0,05). Diese Veränderungen wurden nicht als Vermittler zwischen Luftverschmutzung und niedrigerem Geburtsgewicht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Südeuropa-Studie, gemäßigte Klimazone, mit europäischen Kohortenmethoden übertragbar</w:t>
      </w:r>
    </w:p>
    <w:p>
      <w:r>
        <w:rPr>
          <w:color w:val="5A7D3A"/>
          <w:sz w:val="18"/>
        </w:rPr>
        <w:t>https://pubmed.ncbi.nlm.nih.gov/42492149/</w:t>
      </w:r>
    </w:p>
    <w:p>
      <w:pPr>
        <w:pStyle w:val="Heading2"/>
      </w:pPr>
      <w:r>
        <w:t>Antibiotikaresistenzen in Bewässerungswasser: Globaler Risiko-Rahmen</w:t>
      </w:r>
    </w:p>
    <w:p>
      <w:r>
        <w:rPr>
          <w:i/>
          <w:color w:val="666666"/>
          <w:sz w:val="18"/>
        </w:rPr>
        <w:t>Álvarez-Fraga L et al.  ·  Environ Sci Technol  ·  21.07.2026  ·  PMID 42421426</w:t>
      </w:r>
    </w:p>
    <w:p>
      <w:r>
        <w:t>Internationale Expertengruppe entwickelte einen Rahmen zur Bewertung von Antibiotikaresistenz-Risiken entlang der Abwasser-Bewässerungs-Agrar-Lebensmittel-Kette angesichts knapperen Wassers durch Klimawandel.</w:t>
      </w:r>
    </w:p>
    <w:p>
      <w:r>
        <w:rPr>
          <w:b/>
        </w:rPr>
        <w:t xml:space="preserve">Ergebnis: </w:t>
      </w:r>
      <w:r>
        <w:t>Der Rahmen identifiziert primäre Kontaminationsquellen, Amplifikationspunkte und Barrieren (Abbau im Boden, Ernte-Verzögerung, Nacherntemanagement). Empfehlungen berücksichtigen Kosten-Nutzen-Abwägungen sowie Verfügbarkeit alternativer Bewässerungswasserquellen je nach lokalen Bedingungen.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Konsensarbeit mit europäischen Partnern, Methodik für deutsche Kontexte relevant</w:t>
      </w:r>
    </w:p>
    <w:p>
      <w:r>
        <w:rPr>
          <w:color w:val="5A7D3A"/>
          <w:sz w:val="18"/>
        </w:rPr>
        <w:t>https://pubmed.ncbi.nlm.nih.gov/42421426/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