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11.09.2026  |  6 Studien  |  klima.m-vf.de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Extreme Hitze und Blutdruck bei Gemeinschaftspatienten in den USA</w:t>
      </w:r>
    </w:p>
    <w:p>
      <w:r>
        <w:rPr>
          <w:i/>
          <w:color w:val="666666"/>
          <w:sz w:val="18"/>
        </w:rPr>
        <w:t>McGrath BM et al.  ·  JAMA Netw Open  ·  01.09.2026  ·  PMID 42720949</w:t>
      </w:r>
    </w:p>
    <w:p>
      <w:r>
        <w:t>Analyse der Blutdruckveränderungen bei über 4 Millionen ambulanten Begegnungen an Community Health Centers unter extremer Hitzeexposition.</w:t>
      </w:r>
    </w:p>
    <w:p>
      <w:r>
        <w:rPr>
          <w:b/>
        </w:rPr>
        <w:t xml:space="preserve">Ergebnis: </w:t>
      </w:r>
      <w:r>
        <w:t>Akute Hitzeexposition war mit Blutdrucksenkung assoziiert (systolisch: −0,7 mmHg; diastolisch: −0,3 mmHg). Bei älteren Erwachsenen (≥65 Jahre) waren Reduktionen größer (systolisch: −1,1 mmHg). Effekte konzentrierten sich auf Expositionstag und Folgetag.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klimatische Unterschiede zu Deutschland; aber Patientenalter und kardiovaskuläre Anfälligkeit prinzipiell übertragbar</w:t>
      </w:r>
    </w:p>
    <w:p>
      <w:r>
        <w:rPr>
          <w:color w:val="5A7D3A"/>
          <w:sz w:val="18"/>
        </w:rPr>
        <w:t>https://pubmed.ncbi.nlm.nih.gov/42720949/</w:t>
      </w:r>
    </w:p>
    <w:p>
      <w:pPr>
        <w:pStyle w:val="Heading2"/>
      </w:pPr>
      <w:r>
        <w:t>Temperature-sensitiver Luftqualitäts-Gesundheitsindex: Synergieeffekte Hitze und Luftverschmutzung erfasst</w:t>
      </w:r>
    </w:p>
    <w:p>
      <w:r>
        <w:rPr>
          <w:i/>
          <w:color w:val="666666"/>
          <w:sz w:val="18"/>
        </w:rPr>
        <w:t>Luo C et al.  ·  Front Public Health  ·  26.08.2026  ·  PMID 42719285</w:t>
      </w:r>
    </w:p>
    <w:p>
      <w:r>
        <w:t>Entwicklung und Validierung eines neuen Luftqualitäts-Indexes (TS-AQHI), der die gemeinsamen Gesundheitsrisiken von Hitze und Luftverschmutzung erfasst.</w:t>
      </w:r>
    </w:p>
    <w:p>
      <w:r>
        <w:rPr>
          <w:b/>
        </w:rPr>
        <w:t xml:space="preserve">Ergebnis: </w:t>
      </w:r>
      <w:r>
        <w:t>In Ningbo zeigte TS-AQHI eine 52,7 % höhere Übersterblichkeit bei Hochrisiko-Gruppen (22,9 vs. 15,0 auf 100.000 Personen); in London lag die Risikoerhöhung ebenfalls deutlich höher (22,2 vs. 7,7). Bei älteren Erwachsenen erklärte TS-AQHI 25,1 % der Sterblichkeitsvarianz gegen 20,5 % des konventionellen Index.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London – gemäßigte Klimazone, vergleichbare Versorgungsstruktur; methodisch direkt übertragbar auf Deutschland</w:t>
      </w:r>
    </w:p>
    <w:p>
      <w:r>
        <w:rPr>
          <w:color w:val="5A7D3A"/>
          <w:sz w:val="18"/>
        </w:rPr>
        <w:t>https://pubmed.ncbi.nlm.nih.gov/42719285/</w:t>
      </w:r>
    </w:p>
    <w:p>
      <w:pPr>
        <w:pStyle w:val="Heading2"/>
      </w:pPr>
      <w:r>
        <w:t>Kurzfristige Hitzeexposition und reduzierte Lungenfunktion bei älteren Menschen</w:t>
      </w:r>
    </w:p>
    <w:p>
      <w:r>
        <w:rPr>
          <w:i/>
          <w:color w:val="666666"/>
          <w:sz w:val="18"/>
        </w:rPr>
        <w:t>Nassikas N et al.  ·  BMJ Open Respir Res  ·  09.09.2026  ·  PMID 42716578</w:t>
      </w:r>
    </w:p>
    <w:p>
      <w:r>
        <w:t>Studie mit über 1.900 älteren US-Amerikanern zur Assoziation zwischen Hitzeexposition und Lungenfunktionsmessungen (FEV1, FVC).</w:t>
      </w:r>
    </w:p>
    <w:p>
      <w:r>
        <w:rPr>
          <w:b/>
        </w:rPr>
        <w:t xml:space="preserve">Ergebnis: </w:t>
      </w:r>
      <w:r>
        <w:t>Kumulative Hitzeexposition über 7 Tage (30°C vs. 20°C) war mit 49,96 mL niedrigerem FEV1 (95%-CI: −96,32 bis −3,61) und 89,74 mL niedriger FVC (95%-CI: −157,07 bis −22,42)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ältere Erwachsene als vulnerable Gruppe relevant; Methodik (DLNM) international anerkannt</w:t>
      </w:r>
    </w:p>
    <w:p>
      <w:r>
        <w:rPr>
          <w:color w:val="5A7D3A"/>
          <w:sz w:val="18"/>
        </w:rPr>
        <w:t>https://pubmed.ncbi.nlm.nih.gov/42716578/</w:t>
      </w:r>
    </w:p>
    <w:p>
      <w:pPr>
        <w:pStyle w:val="Heading2"/>
      </w:pPr>
      <w:r>
        <w:t>Akute Durchfallerkrankungen bei Klimavariabilität und Hybrid-Wassersystemen in Brasilien</w:t>
      </w:r>
    </w:p>
    <w:p>
      <w:r>
        <w:rPr>
          <w:i/>
          <w:color w:val="666666"/>
          <w:sz w:val="18"/>
        </w:rPr>
        <w:t>de Araújo Reis IF et al.  ·  Water Environ Res  ·  Sept. 2026  ·  PMID 42714295</w:t>
      </w:r>
    </w:p>
    <w:p>
      <w:r>
        <w:t>Ökologische Studie zur Assoziation zwischen Wassersystem-Konfiguration, Niederschlagsmustern und akuten Durchfallerkrankungen.</w:t>
      </w:r>
    </w:p>
    <w:p>
      <w:r>
        <w:rPr>
          <w:b/>
        </w:rPr>
        <w:t xml:space="preserve">Ergebnis: </w:t>
      </w:r>
      <w:r>
        <w:t>Hybrid-Wassersysteme (Mischung aus behandeltem und Rohwasser) zeigten 21 % höhere Durchfallraten (exp(β)=1,21, 95%-CI: 1,03–1,43, p=0,032). Durchfallraten in der Regenzeit waren 27 % höher als in der Trockenzeit (exp(β)=0,73, p=0,001).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 – tropisch; aber Wassersystem-Schwachstellen und saisonale Klimamuster auch in Deutschland relevant für Gewässersicherheit</w:t>
      </w:r>
    </w:p>
    <w:p>
      <w:r>
        <w:rPr>
          <w:color w:val="5A7D3A"/>
          <w:sz w:val="18"/>
        </w:rPr>
        <w:t>https://pubmed.ncbi.nlm.nih.gov/42714295/</w:t>
      </w:r>
    </w:p>
    <w:p>
      <w:pPr>
        <w:pStyle w:val="Heading2"/>
      </w:pPr>
      <w:r>
        <w:t>Hitzeschutzverhalten in der Schwangerschaft: Barrieren und Handlungsfähigkeit</w:t>
      </w:r>
    </w:p>
    <w:p>
      <w:r>
        <w:rPr>
          <w:i/>
          <w:color w:val="666666"/>
          <w:sz w:val="18"/>
        </w:rPr>
        <w:t>Lintener H et al.  ·  Soc Sci Med  ·  01.08.2026  ·  PMID 42570382</w:t>
      </w:r>
    </w:p>
    <w:p>
      <w:r>
        <w:t>Untersuchung der Faktoren, die Schwangere in Deutschland bewegen, sich vor Hitze zu schützen, mittels erweiterter Protection-Motivation-Theory.</w:t>
      </w:r>
    </w:p>
    <w:p>
      <w:r>
        <w:rPr>
          <w:b/>
        </w:rPr>
        <w:t xml:space="preserve">Ergebnis: </w:t>
      </w:r>
      <w:r>
        <w:t>Handlungskompetenz (Bewältigung) war stark mit Schutzabsichten assoziiert, während Bedrohungswahrnehmung schwache Effekte zeigte. Hinweise von Angehörigen und Hebammen waren in 9 von 10 Verhaltensweisen mit tatsächlichem Schutzverhalten verbunden.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Schwangere; zeigt Wichtigkeit von sozialer Unterstützung bei Hitzeanpassung</w:t>
      </w:r>
    </w:p>
    <w:p>
      <w:r>
        <w:rPr>
          <w:color w:val="5A7D3A"/>
          <w:sz w:val="18"/>
        </w:rPr>
        <w:t>https://pubmed.ncbi.nlm.nih.gov/42570382/</w:t>
      </w:r>
    </w:p>
    <w:p>
      <w:pPr>
        <w:pStyle w:val="Heading2"/>
      </w:pPr>
      <w:r>
        <w:t>PCB-Exposition bei Gebäudedemolition: Hygienemaßnahmen senken Belastung um bis zu 25 %</w:t>
      </w:r>
    </w:p>
    <w:p>
      <w:r>
        <w:rPr>
          <w:i/>
          <w:color w:val="666666"/>
          <w:sz w:val="18"/>
        </w:rPr>
        <w:t>Hammel SC et al.  ·  Environ Int  ·  23.06.2026  ·  PMID 42349167</w:t>
      </w:r>
    </w:p>
    <w:p>
      <w:r>
        <w:t>Untersuchung der Belastung von Abbrucharbeitern mit Polychlorierten Biphenylen (PCB) beim Umgang mit kontaminiertem Material und Wirksamkeit von Schutzmaßnahmen.</w:t>
      </w:r>
    </w:p>
    <w:p>
      <w:r>
        <w:rPr>
          <w:b/>
        </w:rPr>
        <w:t xml:space="preserve">Ergebnis: </w:t>
      </w:r>
      <w:r>
        <w:t>Arbeiter, die PCB-haltige Dichtungsmassen schnitten, zeigten höchste Exposition. Handwaschen reduzierte PCB-Belastung auf den Händen messbar. Schutzausrüstung und einfache Hygiene reduzierten Exposition nachweislich; traditionelle Schutzhandschuhe waren jedoch durchlässig.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 – vergleichbar mit deutschen Arbeitsschutzstandards; sehr relevante Occupational-Health-Fragestellung</w:t>
      </w:r>
    </w:p>
    <w:p>
      <w:r>
        <w:rPr>
          <w:color w:val="5A7D3A"/>
          <w:sz w:val="18"/>
        </w:rPr>
        <w:t>https://pubmed.ncbi.nlm.nih.gov/42349167/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2026-09-11T06:00:00Z</dcterms:created>
  <dcterms:modified xsi:type="dcterms:W3CDTF">2026-09-11T06:00:00Z</dcterms:modified>
  <cp:category/>
</cp:coreProperties>
</file>