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15.09.2026  |  6 Studien  |  klima.m-vf.de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Hitze-Gesundheits-Surveillance: Bevölkerungsalterung erklärt Zusammenhang zwischen Einpersonenhaushalten und Infusionstherapie</w:t>
      </w:r>
    </w:p>
    <w:p>
      <w:r>
        <w:rPr>
          <w:i/>
          <w:color w:val="666666"/>
          <w:sz w:val="18"/>
        </w:rPr>
        <w:t>Saito H et al.  ·  Int J Biometeorol  ·  14.09.2026  ·  PMID 42734840</w:t>
      </w:r>
    </w:p>
    <w:p>
      <w:r>
        <w:t>Ökologische Studie der 47 japanischen Präfekturen untersuchte, ob Seniorenhaushalte mit hohem Anteil mit Infusionstherapie-Nutzung assoziiert sind und ob Bevölkerungsalterung diesen Zusammenhang erklärt.</w:t>
      </w:r>
    </w:p>
    <w:p>
      <w:r>
        <w:rPr>
          <w:b/>
        </w:rPr>
        <w:t xml:space="preserve">Ergebnis: </w:t>
      </w:r>
      <w:r>
        <w:t>Unadjustiert: Seniorenhaushaltsquote assoziiert mit Infusionstherapie-Nutzung (β 723,37; 376,52-1.070,21; p 0,0001). Nach Anpassung um Alterungsrate: Attenuation um 57,1 % (β 310,2; -87,0-707,4; p 0,126). Nach zusätzlicher Anpassung für Hitzevariablen: Effekt gegen Null (β -31,8; p 0,902).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gemäßigte/subtropische Zone, unterstreicht Notwendigkeit demografischer Adjustierung bei Hitzesurveillance</w:t>
      </w:r>
    </w:p>
    <w:p>
      <w:r>
        <w:rPr>
          <w:color w:val="5A7D3A"/>
          <w:sz w:val="18"/>
        </w:rPr>
        <w:t>https://pubmed.ncbi.nlm.nih.gov/42734840/</w:t>
      </w:r>
    </w:p>
    <w:p>
      <w:pPr>
        <w:pStyle w:val="Heading2"/>
      </w:pPr>
      <w:r>
        <w:t>Herz-Kreislauf-Erkrankungen durch Hitze und Kälte bis 2099: Projektionen für Iran unter verschiedenen Klimaszenarien</w:t>
      </w:r>
    </w:p>
    <w:p>
      <w:r>
        <w:rPr>
          <w:i/>
          <w:color w:val="666666"/>
          <w:sz w:val="18"/>
        </w:rPr>
        <w:t>Shoraka HR et al.  ·  Int J Biometeorol  ·  14.09.2026  ·  PMID 42734669</w:t>
      </w:r>
    </w:p>
    <w:p>
      <w:r>
        <w:t>Studie quantifizierte hitze- und kälteassoziierte kardiovaskuläre Morbidität (Krankenhausaufenthalte) in einer ariden iranischen Region für 1981-2099 unter RCP2.6, RCP4.5 und RCP8.5 Szenarien.</w:t>
      </w:r>
    </w:p>
    <w:p>
      <w:r>
        <w:rPr>
          <w:b/>
        </w:rPr>
        <w:t xml:space="preserve">Ergebnis: </w:t>
      </w:r>
      <w:r>
        <w:t>Hitzeattribuierbare kardiovaskuläre Morbidität stieg unter RCP8.5 um über 30 % in mehreren Jahrzehnten, während Kältemorbidität unter 1 % blieb. Anpassung und Bevölkerungswachstum hatten geringe Effekte auf die zurechenbare Fraktion.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Tropen/Subtropen - Temperaturschwellen und Anpassungsfähigkeit nicht vergleichbar mit Deutschland</w:t>
      </w:r>
    </w:p>
    <w:p>
      <w:r>
        <w:rPr>
          <w:color w:val="5A7D3A"/>
          <w:sz w:val="18"/>
        </w:rPr>
        <w:t>https://pubmed.ncbi.nlm.nih.gov/42734669/</w:t>
      </w:r>
    </w:p>
    <w:p>
      <w:pPr>
        <w:pStyle w:val="Heading2"/>
      </w:pPr>
      <w:r>
        <w:t>PM2.5-Exposition und Diabetes-assoziierte Sterblichkeit in Kalifornien</w:t>
      </w:r>
    </w:p>
    <w:p>
      <w:r>
        <w:rPr>
          <w:i/>
          <w:color w:val="666666"/>
          <w:sz w:val="18"/>
        </w:rPr>
        <w:t>Zheng R et al.  ·  Front Public Health  ·  27.08.2026  ·  PMID 42724049</w:t>
      </w:r>
    </w:p>
    <w:p>
      <w:r>
        <w:t>Matched-Case-Control-Analyse mit 60.824 Diabetes-Todesfällen und 119.053 Kontrollen untersuchte Assoziationen zwischen PM2.5-Exposition (1-Jahres-Rollmittel) und Diabetes-bedingter Mortalität.</w:t>
      </w:r>
    </w:p>
    <w:p>
      <w:r>
        <w:rPr>
          <w:b/>
        </w:rPr>
        <w:t xml:space="preserve">Ergebnis: </w:t>
      </w:r>
      <w:r>
        <w:t>PM2.5-Exposition (pro 2,65 μg/m³ IQR) assoziiert mit 18 % höheren Chancen auf Diabetes-Mortalität (OR 1,18; 1,15-1,22), nach NO2-Adjustment 21 % höher (OR 1,21; 1,17-1,25). Reduktion um IQR könnte 31,2 Millionen Dollar pro 100.000 Menschen sparen.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mit gemäßigtem Klima - mittel übertragbar; Methodik und Effektrichtung relevant</w:t>
      </w:r>
    </w:p>
    <w:p>
      <w:r>
        <w:rPr>
          <w:color w:val="5A7D3A"/>
          <w:sz w:val="18"/>
        </w:rPr>
        <w:t>https://pubmed.ncbi.nlm.nih.gov/42724049/</w:t>
      </w:r>
    </w:p>
    <w:p>
      <w:pPr>
        <w:pStyle w:val="Heading2"/>
      </w:pPr>
      <w:r>
        <w:t>Australische Bevölkerung: Wahrnehmung von Klimawandel-Gesundheitsrisiken und Systemvorbereitung</w:t>
      </w:r>
    </w:p>
    <w:p>
      <w:r>
        <w:rPr>
          <w:i/>
          <w:color w:val="666666"/>
          <w:sz w:val="18"/>
        </w:rPr>
        <w:t>Braithwaite J et al.  ·  Med J Aust  ·  Sept. 2026  ·  PMID 42722373</w:t>
      </w:r>
    </w:p>
    <w:p>
      <w:r>
        <w:t>Querschnitt-Umfrage (AU-CLARITY) mit 6.030 repräsentativen Australiern zur Wahrnehmung von Klimawandel-Gesundheitsrisiken und Vertrauen in die Gesundheitssystem-Vorbereitung.</w:t>
      </w:r>
    </w:p>
    <w:p>
      <w:r>
        <w:rPr>
          <w:b/>
        </w:rPr>
        <w:t xml:space="preserve">Ergebnis: </w:t>
      </w:r>
      <w:r>
        <w:t>65 % besorgt über Klimawandel, aber nur 45 % sahen persönliches Risiko. Risikowahrnehmung höher bei Frauen (OR 1,28), First Nations (OR 1,44), mit höherer Bildung (OR 1,28). Persönliche Klimaereignis-Erfahrung erhöhte Risikowahrnehmung (OR 1,97). Nur 37 % glaubten, Gesundheitssystem sei vorbereitet.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entwickelt; gutes Comparator-Setting für Risikowahrnehmung und Systemresilienzmessungen</w:t>
      </w:r>
    </w:p>
    <w:p>
      <w:r>
        <w:rPr>
          <w:color w:val="5A7D3A"/>
          <w:sz w:val="18"/>
        </w:rPr>
        <w:t>https://pubmed.ncbi.nlm.nih.gov/42722373/</w:t>
      </w:r>
    </w:p>
    <w:p>
      <w:pPr>
        <w:pStyle w:val="Heading2"/>
      </w:pPr>
      <w:r>
        <w:t>KABQES-ICU: Validierter Fragebogen für Nachhaltigkeit im Intensivbereich</w:t>
      </w:r>
    </w:p>
    <w:p>
      <w:r>
        <w:rPr>
          <w:i/>
          <w:color w:val="666666"/>
          <w:sz w:val="18"/>
        </w:rPr>
        <w:t>Bartoli D et al.  ·  Intensive Crit Care Nurs  ·  03.07.2026  ·  PMID 42398331</w:t>
      </w:r>
    </w:p>
    <w:p>
      <w:r>
        <w:t>Multizentrisches Querschnitts-Design validierte ein neues Messinstrument (KABQES-ICU) zu Wissen, Einstellungen und Barrieren für Umweltnachhaltigkeit unter 278 italienischen Intensivpflegekräften.</w:t>
      </w:r>
    </w:p>
    <w:p>
      <w:r>
        <w:rPr>
          <w:b/>
        </w:rPr>
        <w:t xml:space="preserve">Ergebnis: </w:t>
      </w:r>
      <w:r>
        <w:t>EFA stützte fünf-Faktoren-Struktur (58,9 % erklärte Varianz): Klimawandel-Wissen, Nachhaltigkeitsverhalten zuhause/bei der Arbeit, Arbeitsbelastung und Zeitdruck, Organisationsinfrastruktur-Barrieren. CFA bestätigte ausgezeichnete Modellanpassung (CFI 0,932-0,944; TLI 0,925-0,937; RMSEA 0,059-0,064). Interne Konsistenz zufriedenstellend (Cronbach's α 0,74-0,86).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europäisches Gesundheitssystem; direkt übertragbar auf deutschsprachige Krankenhäuser</w:t>
      </w:r>
    </w:p>
    <w:p>
      <w:r>
        <w:rPr>
          <w:color w:val="5A7D3A"/>
          <w:sz w:val="18"/>
        </w:rPr>
        <w:t>https://pubmed.ncbi.nlm.nih.gov/42398331/</w:t>
      </w:r>
    </w:p>
    <w:p>
      <w:pPr>
        <w:pStyle w:val="Heading2"/>
      </w:pPr>
      <w:r>
        <w:t>Luftschadstoff-Exposition und Lungenembolie-Risiko: Genetische und Umweltfaktoren im UK Biobank</w:t>
      </w:r>
    </w:p>
    <w:p>
      <w:r>
        <w:rPr>
          <w:i/>
          <w:color w:val="666666"/>
          <w:sz w:val="18"/>
        </w:rPr>
        <w:t>Wen S et al.  ·  Heart Lung  ·  19.06.2026  ·  PMID 42320443</w:t>
      </w:r>
    </w:p>
    <w:p>
      <w:r>
        <w:t>Prospektive Kohortenstudie mit 362.672 UK-Biobank-Teilnehmern untersuchte Assoziationen zwischen Luftschadstoff-Exposition (PM2.5, PM10, NO2, NOx) und Lungenembolie-Inzidenz.</w:t>
      </w:r>
    </w:p>
    <w:p>
      <w:r>
        <w:rPr>
          <w:b/>
        </w:rPr>
        <w:t xml:space="preserve">Ergebnis: </w:t>
      </w:r>
      <w:r>
        <w:t>HRs pro IQR-Anstieg: PM2.5 1,08 (1,02-1,15), NO2 1,13 (1,04-1,23), NOx 1,13 (1,05-1,20). Höchste Luftverschmutzung vs. niedrigste: HR 1,33 (1,10-1,62). Personen mit hohem genetischem Risiko + hoher Luftverschmutzung: HR 2,15 (1,56-2,96).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gemäßigte Klimazone, übertragbar auf Deutschland</w:t>
      </w:r>
    </w:p>
    <w:p>
      <w:r>
        <w:rPr>
          <w:color w:val="5A7D3A"/>
          <w:sz w:val="18"/>
        </w:rPr>
        <w:t>https://pubmed.ncbi.nlm.nih.gov/42320443/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