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19.10.2026  |  5 Studien  |  klima.m-vf.de</w:t>
      </w:r>
    </w:p>
    <w:p>
      <w:pPr>
        <w:pStyle w:val="Heading1"/>
      </w:pPr>
      <w:r>
        <w:t>Aufgenommen am 19.10.2026</w:t>
      </w:r>
    </w:p>
    <w:p>
      <w:pPr>
        <w:pStyle w:val="Heading2"/>
      </w:pPr>
      <w:r>
        <w:t>Urbane Wärmeinsel und Grünflächenmangel: Satellitenmessung in chinesischen Städten</w:t>
      </w:r>
    </w:p>
    <w:p>
      <w:r>
        <w:rPr>
          <w:i/>
          <w:color w:val="666666"/>
          <w:sz w:val="18"/>
        </w:rPr>
        <w:t>Pu W et al.  ·  Environ Monit Assess  ·  17.10.2026  ·  PMID 42891866</w:t>
      </w:r>
    </w:p>
    <w:p>
      <w:r>
        <w:t>Harmonisierte Landsat-Oberflächentemperatur, Landbedeckung und Bevölkerungsdaten in vier chinesischen Großstädten (2020–2024) zur Kartierung von Wärmestress und Blaugrün-Defiziten.</w:t>
      </w:r>
    </w:p>
    <w:p>
      <w:r>
        <w:rPr>
          <w:b/>
        </w:rPr>
        <w:t xml:space="preserve">Ergebnis: </w:t>
      </w:r>
      <w:r>
        <w:t>8,8 bis 14,1 % der innerstädtischen Grid-Zellen zeigten hohe Wärmestrahlung bei geringem Blaugrün-Angebot (1,52- bis 1,63-fach über Nullerwartung); höchstes Bevölkerungsdezil war 4,19 bis 5,23 °C wärmer als niedrigstes; Modellgüte (R² 0,632–0,896 in städtischen Modellen).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Chinesische Ballungsräume; Methodik übertragbar – deutsche Städte sollten ähnliche Risikomapping durchführen</w:t>
      </w:r>
    </w:p>
    <w:p>
      <w:r>
        <w:rPr>
          <w:color w:val="5A7D3A"/>
          <w:sz w:val="18"/>
        </w:rPr>
        <w:t>https://pubmed.ncbi.nlm.nih.gov/42891866/</w:t>
      </w:r>
    </w:p>
    <w:p>
      <w:pPr>
        <w:pStyle w:val="Heading2"/>
      </w:pPr>
      <w:r>
        <w:t>Ozonbelastung und Atemwegsgesundheit in den USA: Systematische Übersicht</w:t>
      </w:r>
    </w:p>
    <w:p>
      <w:r>
        <w:rPr>
          <w:i/>
          <w:color w:val="666666"/>
          <w:sz w:val="18"/>
        </w:rPr>
        <w:t>Cho Y et al.  ·  Curr Environ Health Rep  ·  17.10.2026  ·  PMID 42891783</w:t>
      </w:r>
    </w:p>
    <w:p>
      <w:r>
        <w:t>Systematische Übersicht von 1980 bis 2026 über Effekte von Ozonschwankungen auf Lungenfunktion, Asthmasymptome und Atemwegsmorbidität in den USA.</w:t>
      </w:r>
    </w:p>
    <w:p>
      <w:r>
        <w:rPr>
          <w:b/>
        </w:rPr>
        <w:t xml:space="preserve">Ergebnis: </w:t>
      </w:r>
      <w:r>
        <w:t>Konsistente adverse respiratorische Effekte nachgewiesen: Lungenfunktionsdefizite auch unterhalb aktueller Grenzwerte, erhöhte Notaufnahmebesuche und Hospitalisierungen bei Kindern, älteren Erwachsenen und Patienten mit Vorerkrankungen; Schulfehlzeiten als sensitive Outcome-Indikatoren für pädiatrische Respirationsgesundheit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USA-Daten; Klimawandel verstärkt Ozonbildung – Relevanz für deutsche Ballungsräume</w:t>
      </w:r>
    </w:p>
    <w:p>
      <w:r>
        <w:rPr>
          <w:color w:val="5A7D3A"/>
          <w:sz w:val="18"/>
        </w:rPr>
        <w:t>https://pubmed.ncbi.nlm.nih.gov/42891783/</w:t>
      </w:r>
    </w:p>
    <w:p>
      <w:pPr>
        <w:pStyle w:val="Heading2"/>
      </w:pPr>
      <w:r>
        <w:t>PM2,5 und Lebenserwartung: Methodische Fallstricke in globalen Paneldaten</w:t>
      </w:r>
    </w:p>
    <w:p>
      <w:r>
        <w:rPr>
          <w:i/>
          <w:color w:val="666666"/>
          <w:sz w:val="18"/>
        </w:rPr>
        <w:t>Lu H et al.  ·  Front Public Health  ·  01.10.2026  ·  PMID 42889153</w:t>
      </w:r>
    </w:p>
    <w:p>
      <w:r>
        <w:t>Spezifikationsstudie zu PM2,5-Effekten auf nationale Lebenserwartung (186 Länder, 2000-2023) mit Test auf Robustheit gegenüber Trendkontrolle.</w:t>
      </w:r>
    </w:p>
    <w:p>
      <w:r>
        <w:rPr>
          <w:b/>
        </w:rPr>
        <w:t xml:space="preserve">Ergebnis: </w:t>
      </w:r>
      <w:r>
        <w:t>Konventionelle Modelle zeigten paradox positive PM2,5-Assoziation (+0,406 Jahre pro 10 µg/m³). Nach Hinzunahme von länderspezifischen linearen Trends: -0,023 Jahre (95%-KI -0,175 bis 0,129); in First-Differences-Modellen: -0,006 Jahre (95%-KI -0,085 bis 0,073). Zukünftige PM2,5 zeigte positive Cross-sectional-Assoziation, die nach Anpassung an aktuelle Werte attenuiert wurde.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Methodische Warnung für Luftqualitätsstudien; Deutschland sollte Trend-Diagnostik verstärken</w:t>
      </w:r>
    </w:p>
    <w:p>
      <w:r>
        <w:rPr>
          <w:color w:val="5A7D3A"/>
          <w:sz w:val="18"/>
        </w:rPr>
        <w:t>https://pubmed.ncbi.nlm.nih.gov/42889153/</w:t>
      </w:r>
    </w:p>
    <w:p>
      <w:pPr>
        <w:pStyle w:val="Heading2"/>
      </w:pPr>
      <w:r>
        <w:t>Trinkwassersalinität und Hitzestress in Kenia: Protokoll zur Nierenfunktion</w:t>
      </w:r>
    </w:p>
    <w:p>
      <w:r>
        <w:rPr>
          <w:i/>
          <w:color w:val="666666"/>
          <w:sz w:val="18"/>
        </w:rPr>
        <w:t>Rojas AJ Jr et al.  ·  Am J Hum Biol  ·  Okt. 2026  ·  PMID 42865079</w:t>
      </w:r>
    </w:p>
    <w:p>
      <w:r>
        <w:t>Studienprotokoll einer Längsschnittstudie mit 600 Erwachsenen in Kenia zur Untersuchung von Wassersalinität und Hitzestress auf Hydration, Nierenfunktion und kardiovaskuläre Effekte.</w:t>
      </w:r>
    </w:p>
    <w:p>
      <w:r>
        <w:rPr>
          <w:b/>
        </w:rPr>
        <w:t xml:space="preserve">Ergebnis: </w:t>
      </w:r>
      <w:r>
        <w:t>Protokoll für saisonale Datenerfassung (Trockenzeit Juni–Juli, Regenzeit März–April) über sechs Wellen; Messung von Salzgehalt, Doppelt-markiertem Wasser, Point-of-Care und laborgestützten Biomarkern; multilevel-Regression zur Quantifizierung von Salz- und Hitzeffekten auf Hypertonie und chronische Nierenkrankheit geplant.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Kenia, aride Klimazone; Mechanismen generalisierbar – Deutschland sollte Wassersicherheit überwachen</w:t>
      </w:r>
    </w:p>
    <w:p>
      <w:r>
        <w:rPr>
          <w:color w:val="5A7D3A"/>
          <w:sz w:val="18"/>
        </w:rPr>
        <w:t>https://pubmed.ncbi.nlm.nih.gov/42865079/</w:t>
      </w:r>
    </w:p>
    <w:p>
      <w:pPr>
        <w:pStyle w:val="Heading2"/>
      </w:pPr>
      <w:r>
        <w:t>Hitzeinduzierte Schmerzverarbeitung bei autistischen Personen: Geschlechtsdifferenzen</w:t>
      </w:r>
    </w:p>
    <w:p>
      <w:r>
        <w:rPr>
          <w:i/>
          <w:color w:val="666666"/>
          <w:sz w:val="18"/>
        </w:rPr>
        <w:t>Granovsky Y et al.  ·  Eur J Pain  ·  Okt. 2026  ·  PMID 42860550</w:t>
      </w:r>
    </w:p>
    <w:p>
      <w:r>
        <w:t>Querschnittstudie mit 50 autistischen und 52 typisch entwickelten Erwachsenen zu Schmerzratings und kortikalen Reaktionen (N2-Amplituden) auf kalibrierte Hitzestimuli (52°C).</w:t>
      </w:r>
    </w:p>
    <w:p>
      <w:r>
        <w:rPr>
          <w:b/>
        </w:rPr>
        <w:t xml:space="preserve">Ergebnis: </w:t>
      </w:r>
      <w:r>
        <w:t>Autistische Teilnehmer berichteten höhere Schmerzwerte (p = 0,004) und zeigten niedrigere N2-Amplituden (p = 0,02); signifikante Gruppe×Geschlecht-Wechselwirkung (p &lt; 0,001) mit niedrigsten N2-Amplituden bei autistischen Frauen (p &lt; 0,05); nur bei Frauen: positive Assoziation N2-Amplitude–Schmerzbewertung in Kontrollen (r = 0,734; p = 0,004), nicht in autistischen (r = 0,371; p = 0,192).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Israel; Hitzeverträglichkeit und vulnerable Subgruppen relevant für Hitzeaktionspläne</w:t>
      </w:r>
    </w:p>
    <w:p>
      <w:r>
        <w:rPr>
          <w:color w:val="5A7D3A"/>
          <w:sz w:val="18"/>
        </w:rPr>
        <w:t>https://pubmed.ncbi.nlm.nih.gov/42860550/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2026-10-19T06:00:00Z</dcterms:created>
  <dcterms:modified xsi:type="dcterms:W3CDTF">2026-10-19T06:00:00Z</dcterms:modified>
  <cp:category/>
</cp:coreProperties>
</file>