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19.10.2026  |  349 Studien  |  klima.m-vf.de</w:t>
      </w:r>
    </w:p>
    <w:p>
      <w:pPr>
        <w:pStyle w:val="Heading1"/>
      </w:pPr>
      <w:r>
        <w:t>Aufgenommen am 19.10.2026</w:t>
      </w:r>
    </w:p>
    <w:p>
      <w:pPr>
        <w:pStyle w:val="Heading2"/>
      </w:pPr>
      <w:r>
        <w:t>Urbane Wärmeinsel und Grünflächenmangel: Satellitenmessung in chinesischen Städten</w:t>
      </w:r>
    </w:p>
    <w:p>
      <w:r>
        <w:rPr>
          <w:i/>
          <w:color w:val="666666"/>
          <w:sz w:val="18"/>
        </w:rPr>
        <w:t>Pu W et al.  ·  Environ Monit Assess  ·  17.10.2026  ·  PMID 42891866</w:t>
      </w:r>
    </w:p>
    <w:p>
      <w:r>
        <w:t>Harmonisierte Landsat-Oberflächentemperatur, Landbedeckung und Bevölkerungsdaten in vier chinesischen Großstädten (2020–2024) zur Kartierung von Wärmestress und Blaugrün-Defiziten.</w:t>
      </w:r>
    </w:p>
    <w:p>
      <w:r>
        <w:rPr>
          <w:b/>
        </w:rPr>
        <w:t xml:space="preserve">Ergebnis: </w:t>
      </w:r>
      <w:r>
        <w:t>8,8 bis 14,1 % der innerstädtischen Grid-Zellen zeigten hohe Wärmestrahlung bei geringem Blaugrün-Angebot (1,52- bis 1,63-fach über Nullerwartung); höchstes Bevölkerungsdezil war 4,19 bis 5,23 °C wärmer als niedrigstes; Modellgüte (R² 0,632–0,896 in städtischen Modellen).</w:t>
      </w:r>
    </w:p>
    <w:p>
      <w:r>
        <w:rPr>
          <w:b/>
          <w:sz w:val="19"/>
        </w:rPr>
        <w:t xml:space="preserve">Übertragbarkeit: </w:t>
      </w:r>
      <w:r>
        <w:rPr>
          <w:sz w:val="19"/>
        </w:rPr>
        <w:t>Chinesische Ballungsräume; Methodik übertragbar – deutsche Städte sollten ähnliche Risikomapping durchführen</w:t>
      </w:r>
    </w:p>
    <w:p>
      <w:r>
        <w:rPr>
          <w:color w:val="5A7D3A"/>
          <w:sz w:val="18"/>
        </w:rPr>
        <w:t>https://pubmed.ncbi.nlm.nih.gov/42891866/</w:t>
      </w:r>
    </w:p>
    <w:p>
      <w:pPr>
        <w:pStyle w:val="Heading2"/>
      </w:pPr>
      <w:r>
        <w:t>Ozonbelastung und Atemwegsgesundheit in den USA: Systematische Übersicht</w:t>
      </w:r>
    </w:p>
    <w:p>
      <w:r>
        <w:rPr>
          <w:i/>
          <w:color w:val="666666"/>
          <w:sz w:val="18"/>
        </w:rPr>
        <w:t>Cho Y et al.  ·  Curr Environ Health Rep  ·  17.10.2026  ·  PMID 42891783</w:t>
      </w:r>
    </w:p>
    <w:p>
      <w:r>
        <w:t>Systematische Übersicht von 1980 bis 2026 über Effekte von Ozonschwankungen auf Lungenfunktion, Asthmasymptome und Atemwegsmorbidität in den USA.</w:t>
      </w:r>
    </w:p>
    <w:p>
      <w:r>
        <w:rPr>
          <w:b/>
        </w:rPr>
        <w:t xml:space="preserve">Ergebnis: </w:t>
      </w:r>
      <w:r>
        <w:t>Konsistente adverse respiratorische Effekte nachgewiesen: Lungenfunktionsdefizite auch unterhalb aktueller Grenzwerte, erhöhte Notaufnahmebesuche und Hospitalisierungen bei Kindern, älteren Erwachsenen und Patienten mit Vorerkrankungen; Schulfehlzeiten als sensitive Outcome-Indikatoren für pädiatrische Respirationsgesundheit identifiziert.</w:t>
      </w:r>
    </w:p>
    <w:p>
      <w:r>
        <w:rPr>
          <w:b/>
          <w:sz w:val="19"/>
        </w:rPr>
        <w:t xml:space="preserve">Übertragbarkeit: </w:t>
      </w:r>
      <w:r>
        <w:rPr>
          <w:sz w:val="19"/>
        </w:rPr>
        <w:t>USA-Daten; Klimawandel verstärkt Ozonbildung – Relevanz für deutsche Ballungsräume</w:t>
      </w:r>
    </w:p>
    <w:p>
      <w:r>
        <w:rPr>
          <w:color w:val="5A7D3A"/>
          <w:sz w:val="18"/>
        </w:rPr>
        <w:t>https://pubmed.ncbi.nlm.nih.gov/42891783/</w:t>
      </w:r>
    </w:p>
    <w:p>
      <w:pPr>
        <w:pStyle w:val="Heading2"/>
      </w:pPr>
      <w:r>
        <w:t>PM2,5 und Lebenserwartung: Methodische Fallstricke in globalen Paneldaten</w:t>
      </w:r>
    </w:p>
    <w:p>
      <w:r>
        <w:rPr>
          <w:i/>
          <w:color w:val="666666"/>
          <w:sz w:val="18"/>
        </w:rPr>
        <w:t>Lu H et al.  ·  Front Public Health  ·  01.10.2026  ·  PMID 42889153</w:t>
      </w:r>
    </w:p>
    <w:p>
      <w:r>
        <w:t>Spezifikationsstudie zu PM2,5-Effekten auf nationale Lebenserwartung (186 Länder, 2000-2023) mit Test auf Robustheit gegenüber Trendkontrolle.</w:t>
      </w:r>
    </w:p>
    <w:p>
      <w:r>
        <w:rPr>
          <w:b/>
        </w:rPr>
        <w:t xml:space="preserve">Ergebnis: </w:t>
      </w:r>
      <w:r>
        <w:t>Konventionelle Modelle zeigten paradox positive PM2,5-Assoziation (+0,406 Jahre pro 10 µg/m³). Nach Hinzunahme von länderspezifischen linearen Trends: -0,023 Jahre (95%-KI -0,175 bis 0,129); in First-Differences-Modellen: -0,006 Jahre (95%-KI -0,085 bis 0,073). Zukünftige PM2,5 zeigte positive Cross-sectional-Assoziation, die nach Anpassung an aktuelle Werte attenuiert wurde.</w:t>
      </w:r>
    </w:p>
    <w:p>
      <w:r>
        <w:rPr>
          <w:b/>
          <w:sz w:val="19"/>
        </w:rPr>
        <w:t xml:space="preserve">Übertragbarkeit: </w:t>
      </w:r>
      <w:r>
        <w:rPr>
          <w:sz w:val="19"/>
        </w:rPr>
        <w:t>Methodische Warnung für Luftqualitätsstudien; Deutschland sollte Trend-Diagnostik verstärken</w:t>
      </w:r>
    </w:p>
    <w:p>
      <w:r>
        <w:rPr>
          <w:color w:val="5A7D3A"/>
          <w:sz w:val="18"/>
        </w:rPr>
        <w:t>https://pubmed.ncbi.nlm.nih.gov/42889153/</w:t>
      </w:r>
    </w:p>
    <w:p>
      <w:pPr>
        <w:pStyle w:val="Heading2"/>
      </w:pPr>
      <w:r>
        <w:t>Trinkwassersalinität und Hitzestress in Kenia: Protokoll zur Nierenfunktion</w:t>
      </w:r>
    </w:p>
    <w:p>
      <w:r>
        <w:rPr>
          <w:i/>
          <w:color w:val="666666"/>
          <w:sz w:val="18"/>
        </w:rPr>
        <w:t>Rojas AJ Jr et al.  ·  Am J Hum Biol  ·  Okt. 2026  ·  PMID 42865079</w:t>
      </w:r>
    </w:p>
    <w:p>
      <w:r>
        <w:t>Studienprotokoll einer Längsschnittstudie mit 600 Erwachsenen in Kenia zur Untersuchung von Wassersalinität und Hitzestress auf Hydration, Nierenfunktion und kardiovaskuläre Effekte.</w:t>
      </w:r>
    </w:p>
    <w:p>
      <w:r>
        <w:rPr>
          <w:b/>
        </w:rPr>
        <w:t xml:space="preserve">Ergebnis: </w:t>
      </w:r>
      <w:r>
        <w:t>Protokoll für saisonale Datenerfassung (Trockenzeit Juni–Juli, Regenzeit März–April) über sechs Wellen; Messung von Salzgehalt, Doppelt-markiertem Wasser, Point-of-Care und laborgestützten Biomarkern; multilevel-Regression zur Quantifizierung von Salz- und Hitzeffekten auf Hypertonie und chronische Nierenkrankheit geplant.</w:t>
      </w:r>
    </w:p>
    <w:p>
      <w:r>
        <w:rPr>
          <w:b/>
          <w:sz w:val="19"/>
        </w:rPr>
        <w:t xml:space="preserve">Übertragbarkeit: </w:t>
      </w:r>
      <w:r>
        <w:rPr>
          <w:sz w:val="19"/>
        </w:rPr>
        <w:t>Kenia, aride Klimazone; Mechanismen generalisierbar – Deutschland sollte Wassersicherheit überwachen</w:t>
      </w:r>
    </w:p>
    <w:p>
      <w:r>
        <w:rPr>
          <w:color w:val="5A7D3A"/>
          <w:sz w:val="18"/>
        </w:rPr>
        <w:t>https://pubmed.ncbi.nlm.nih.gov/42865079/</w:t>
      </w:r>
    </w:p>
    <w:p>
      <w:pPr>
        <w:pStyle w:val="Heading2"/>
      </w:pPr>
      <w:r>
        <w:t>Hitzeinduzierte Schmerzverarbeitung bei autistischen Personen: Geschlechtsdifferenzen</w:t>
      </w:r>
    </w:p>
    <w:p>
      <w:r>
        <w:rPr>
          <w:i/>
          <w:color w:val="666666"/>
          <w:sz w:val="18"/>
        </w:rPr>
        <w:t>Granovsky Y et al.  ·  Eur J Pain  ·  Okt. 2026  ·  PMID 42860550</w:t>
      </w:r>
    </w:p>
    <w:p>
      <w:r>
        <w:t>Querschnittstudie mit 50 autistischen und 52 typisch entwickelten Erwachsenen zu Schmerzratings und kortikalen Reaktionen (N2-Amplituden) auf kalibrierte Hitzestimuli (52°C).</w:t>
      </w:r>
    </w:p>
    <w:p>
      <w:r>
        <w:rPr>
          <w:b/>
        </w:rPr>
        <w:t xml:space="preserve">Ergebnis: </w:t>
      </w:r>
      <w:r>
        <w:t>Autistische Teilnehmer berichteten höhere Schmerzwerte (p = 0,004) und zeigten niedrigere N2-Amplituden (p = 0,02); signifikante Gruppe×Geschlecht-Wechselwirkung (p &lt; 0,001) mit niedrigsten N2-Amplituden bei autistischen Frauen (p &lt; 0,05); nur bei Frauen: positive Assoziation N2-Amplitude–Schmerzbewertung in Kontrollen (r = 0,734; p = 0,004), nicht in autistischen (r = 0,371; p = 0,192).</w:t>
      </w:r>
    </w:p>
    <w:p>
      <w:r>
        <w:rPr>
          <w:b/>
          <w:sz w:val="19"/>
        </w:rPr>
        <w:t xml:space="preserve">Übertragbarkeit: </w:t>
      </w:r>
      <w:r>
        <w:rPr>
          <w:sz w:val="19"/>
        </w:rPr>
        <w:t>Deutschland, Israel; Hitzeverträglichkeit und vulnerable Subgruppen relevant für Hitzeaktionspläne</w:t>
      </w:r>
    </w:p>
    <w:p>
      <w:r>
        <w:rPr>
          <w:color w:val="5A7D3A"/>
          <w:sz w:val="18"/>
        </w:rPr>
        <w:t>https://pubmed.ncbi.nlm.nih.gov/42860550/</w:t>
      </w:r>
    </w:p>
    <w:p>
      <w:pPr>
        <w:pStyle w:val="Heading1"/>
      </w:pPr>
      <w:r>
        <w:t>Aufgenommen am 18.10.2026</w:t>
      </w:r>
    </w:p>
    <w:p>
      <w:pPr>
        <w:pStyle w:val="Heading2"/>
      </w:pPr>
      <w:r>
        <w:t>Soziale Ungleichheiten in Feinstaubexposition während Smog-Saison</w:t>
      </w:r>
    </w:p>
    <w:p>
      <w:r>
        <w:rPr>
          <w:i/>
          <w:color w:val="666666"/>
          <w:sz w:val="18"/>
        </w:rPr>
        <w:t>Sittitoon N et al.  ·  Front Public Health  ·  01.10.2026  ·  PMID 42889179</w:t>
      </w:r>
    </w:p>
    <w:p>
      <w:r>
        <w:t>Querschnittsstudie in Thailand (n=3916) untersuchte, wie Bildung, soziodemografische Faktoren, Schutzverhalten und Umweltfaktoren die PM2,5-bedingten Symptome während der Haze-Saison beeinflussen.</w:t>
      </w:r>
    </w:p>
    <w:p>
      <w:r>
        <w:rPr>
          <w:b/>
        </w:rPr>
        <w:t xml:space="preserve">Ergebnis: </w:t>
      </w:r>
      <w:r>
        <w:t>Respiratorische Symptome waren am häufigsten (80,7%), gefolgt von Augen- (52,8%), Haut- (48,7%) und neurologischen Symptomen (33,1%). Nicht-kompliante Schutzverhalten waren mit erhöhten Chancen für respiratorische und neurologische Symptome verbunden (vs. kompliante Gruppe); höhere PM2,5-Exposition war unabhängig mit erhöhtem Risiko assoziiert.</w:t>
      </w:r>
    </w:p>
    <w:p>
      <w:r>
        <w:rPr>
          <w:b/>
          <w:sz w:val="19"/>
        </w:rPr>
        <w:t xml:space="preserve">Übertragbarkeit: </w:t>
      </w:r>
      <w:r>
        <w:rPr>
          <w:sz w:val="19"/>
        </w:rPr>
        <w:t>Südostasien mit höheren Temperaturschwellen; Methodik und Ungleichheitsperspektive aber prinzipiell relevant</w:t>
      </w:r>
    </w:p>
    <w:p>
      <w:r>
        <w:rPr>
          <w:color w:val="5A7D3A"/>
          <w:sz w:val="18"/>
        </w:rPr>
        <w:t>https://pubmed.ncbi.nlm.nih.gov/42889179/</w:t>
      </w:r>
    </w:p>
    <w:p>
      <w:pPr>
        <w:pStyle w:val="Heading2"/>
      </w:pPr>
      <w:r>
        <w:t>Dengue-Virus-Infektion: Klimawandel und geografische Ausbreitung</w:t>
      </w:r>
    </w:p>
    <w:p>
      <w:r>
        <w:rPr>
          <w:i/>
          <w:color w:val="666666"/>
          <w:sz w:val="18"/>
        </w:rPr>
        <w:t>Ooi YS et al.  ·  Nat Rev Dis Primers  ·  15.10.2026  ·  PMID 42881211</w:t>
      </w:r>
    </w:p>
    <w:p>
      <w:r>
        <w:t>Übersichtsarbeit zur Dengue-Epidemiologie, Klinik und Management beschreibt den sich durch Klimawandel und erhöhte Mobilität ausbreitenden geografischen Kreis der Erkrankung von urbanen in ländliche und periurbane Gebiete.</w:t>
      </w:r>
    </w:p>
    <w:p>
      <w:r>
        <w:rPr>
          <w:b/>
        </w:rPr>
        <w:t xml:space="preserve">Ergebnis: </w:t>
      </w:r>
      <w:r>
        <w:t>Jährlich erkranken ca. 100 Millionen Menschen an Dengue. Die geografische Verbreitung erweitert sich durch erhöhtes Reiseaufkommen und Klimawandel; Faktor für die Krankheitslast ist der Shift von urbanen Zentren in ländliche Bereiche, was zukünftige klinische Präsenz und Versorgungsbedarf für Deutschland absehbar macht.</w:t>
      </w:r>
    </w:p>
    <w:p>
      <w:r>
        <w:rPr>
          <w:b/>
          <w:sz w:val="19"/>
        </w:rPr>
        <w:t xml:space="preserve">Übertragbarkeit: </w:t>
      </w:r>
      <w:r>
        <w:rPr>
          <w:sz w:val="19"/>
        </w:rPr>
        <w:t>Epidemiologie und Dynamik klimasensitiver Vektorkrankheiten; Management-Prinzipien und Erkennung post-akuter Sequelae relevant</w:t>
      </w:r>
    </w:p>
    <w:p>
      <w:r>
        <w:rPr>
          <w:color w:val="5A7D3A"/>
          <w:sz w:val="18"/>
        </w:rPr>
        <w:t>https://pubmed.ncbi.nlm.nih.gov/42881211/</w:t>
      </w:r>
    </w:p>
    <w:p>
      <w:pPr>
        <w:pStyle w:val="Heading2"/>
      </w:pPr>
      <w:r>
        <w:t>Luftqualitätsveränderungen während COVID-19-Lockdowns in Delhi-Metropolregion</w:t>
      </w:r>
    </w:p>
    <w:p>
      <w:r>
        <w:rPr>
          <w:i/>
          <w:color w:val="666666"/>
          <w:sz w:val="18"/>
        </w:rPr>
        <w:t>Biswas S et al.  ·  Sci Prog  ·  14.10.2026  ·  PMID 42874085</w:t>
      </w:r>
    </w:p>
    <w:p>
      <w:r>
        <w:t>Longitudinale Analyse der Luftqualität (PM2,5, PM10, NOx, SO2, CO, O3) in Delhi-NCR während COVID-19-Lockdown, Wiederöffnung und prä-pandemischer Baseline, mit Fokus auf nichtlineare Dynamiken und Persistenzeffekte.</w:t>
      </w:r>
    </w:p>
    <w:p>
      <w:r>
        <w:rPr>
          <w:b/>
        </w:rPr>
        <w:t xml:space="preserve">Ergebnis: </w:t>
      </w:r>
      <w:r>
        <w:t>Während des Lockdowns stiegen Schadstoffkonzentrationen initial (z. B. PM2,5-Reduktion, dann Rebound), mit mehreren Übergangspunkten. Post-COVID-Luftqualitätsdynamiken blieben stärker mit Lockdown-Bedingungen synchronisiert als mit prä-COVID-Periode, was partielle Persistenz von Verbesserungen anzeigt. Nichtlineare Analyse zeigte veränderte Rekurrenzstrukturen.</w:t>
      </w:r>
    </w:p>
    <w:p>
      <w:r>
        <w:rPr>
          <w:b/>
          <w:sz w:val="19"/>
        </w:rPr>
        <w:t xml:space="preserve">Übertragbarkeit: </w:t>
      </w:r>
      <w:r>
        <w:rPr>
          <w:sz w:val="19"/>
        </w:rPr>
        <w:t>Delhi-Metropolregion (Tropen); Methodologie nichtlinearer dynamischer Systeme und Transitions-Analyse übertragbar</w:t>
      </w:r>
    </w:p>
    <w:p>
      <w:r>
        <w:rPr>
          <w:color w:val="5A7D3A"/>
          <w:sz w:val="18"/>
        </w:rPr>
        <w:t>https://pubmed.ncbi.nlm.nih.gov/42874085/</w:t>
      </w:r>
    </w:p>
    <w:p>
      <w:pPr>
        <w:pStyle w:val="Heading2"/>
      </w:pPr>
      <w:r>
        <w:t>Biomasse-Verbrennung und Feinstaub-Gesundheitsrisiken in Indien</w:t>
      </w:r>
    </w:p>
    <w:p>
      <w:r>
        <w:rPr>
          <w:i/>
          <w:color w:val="666666"/>
          <w:sz w:val="18"/>
        </w:rPr>
        <w:t>Bojjagani S et al.  ·  Environ Monit Assess  ·  14.10.2026  ·  PMID 42873321</w:t>
      </w:r>
    </w:p>
    <w:p>
      <w:r>
        <w:t>Feldstudie in Lucknow (Indien) während des Holika-Dahan-Festivals evaluierte PM2,5-Charakteristika, Quellbeiträge und zurechenbare Gesundheitsrisiken bei residentialen und kommerziellen Standorten in drei Phasen.</w:t>
      </w:r>
    </w:p>
    <w:p>
      <w:r>
        <w:rPr>
          <w:b/>
        </w:rPr>
        <w:t xml:space="preserve">Ergebnis: </w:t>
      </w:r>
      <w:r>
        <w:t>PM2,5-Konzentrationen während Holika Dahan stiegen um Faktor 2,0 (residentiell) bzw. 1,4 (kommerziell) vs. prä-Holika-Baseline. Kanzerogenes Risiko (CR) überschritt EPA-Grenzwerte an beiden Standorten; Peak während Holika-Nacht. Nicht-kanzerogener Hazard Index (HI) blieb unter EPA-Grenzen, aber mit beobachteten Spitzenwerten während des Events.</w:t>
      </w:r>
    </w:p>
    <w:p>
      <w:r>
        <w:rPr>
          <w:b/>
          <w:sz w:val="19"/>
        </w:rPr>
        <w:t xml:space="preserve">Übertragbarkeit: </w:t>
      </w:r>
      <w:r>
        <w:rPr>
          <w:sz w:val="19"/>
        </w:rPr>
        <w:t>Indien – nur die Expositions- und Risikobewertungsmethodik ist übertragbar; absolute Schwellen nicht</w:t>
      </w:r>
    </w:p>
    <w:p>
      <w:r>
        <w:rPr>
          <w:color w:val="5A7D3A"/>
          <w:sz w:val="18"/>
        </w:rPr>
        <w:t>https://pubmed.ncbi.nlm.nih.gov/42873321/</w:t>
      </w:r>
    </w:p>
    <w:p>
      <w:pPr>
        <w:pStyle w:val="Heading2"/>
      </w:pPr>
      <w:r>
        <w:t>Tabakbedingte Sterblichkeit und Krankheitslast in Indien 1990–2023</w:t>
      </w:r>
    </w:p>
    <w:p>
      <w:r>
        <w:rPr>
          <w:i/>
          <w:color w:val="666666"/>
          <w:sz w:val="18"/>
        </w:rPr>
        <w:t>Mandal C et al.  ·  BMJ Open  ·  30.09.2026  ·  PMID 42816088</w:t>
      </w:r>
    </w:p>
    <w:p>
      <w:r>
        <w:t>Deskriptive Analyse der Global Burden of Disease 2023 quantifizierte tabakattribuierbare Todesfälle und Behinderungen-bereinigte Lebensjahre (DALYs) in Indien für 1990 und 2023 nach Geschlecht, Alter und Expositionstyp.</w:t>
      </w:r>
    </w:p>
    <w:p>
      <w:r>
        <w:rPr>
          <w:b/>
        </w:rPr>
        <w:t xml:space="preserve">Ergebnis: </w:t>
      </w:r>
      <w:r>
        <w:t>Tabakattribuierbare Todesfälle stiegen um 54,7 % (von 745,74 tausend 1990 auf 1.153,98 tausend 2023), DALYs um 15,1 % (27,3 auf 31,4 Mio.). Age-standardisierte Raten sanken aber um 39,8 % (Todesfälle) und 47,8 % (DALYs). Rauchen führte 738,8 tausend Todesfälle 2023 an; Kautabak stieg um 153,7 %, Passivrauchen betraf 325,63 tausend Frauen.</w:t>
      </w:r>
    </w:p>
    <w:p>
      <w:r>
        <w:rPr>
          <w:b/>
          <w:sz w:val="19"/>
        </w:rPr>
        <w:t xml:space="preserve">Übertragbarkeit: </w:t>
      </w:r>
      <w:r>
        <w:rPr>
          <w:sz w:val="19"/>
        </w:rPr>
        <w:t>SüdAsien mit anderer Bevölkerungsstruktur; Analysemethodik und Prinzip der Multimorbidität relevant</w:t>
      </w:r>
    </w:p>
    <w:p>
      <w:r>
        <w:rPr>
          <w:color w:val="5A7D3A"/>
          <w:sz w:val="18"/>
        </w:rPr>
        <w:t>https://pubmed.ncbi.nlm.nih.gov/42816088/</w:t>
      </w:r>
    </w:p>
    <w:p>
      <w:pPr>
        <w:pStyle w:val="Heading2"/>
      </w:pPr>
      <w:r>
        <w:t>Luftverschmutzung und Asthmaentwicklung bei Kindern: Endotoxine als Modifikator</w:t>
      </w:r>
    </w:p>
    <w:p>
      <w:r>
        <w:rPr>
          <w:i/>
          <w:color w:val="666666"/>
          <w:sz w:val="18"/>
        </w:rPr>
        <w:t>Zhang L et al.  ·  Environ Res  ·  15.11.2026  ·  PMID 42805479</w:t>
      </w:r>
    </w:p>
    <w:p>
      <w:r>
        <w:t>Kanadas CHILD-Studie untersuchte, ob frühe Exposition gegenüber verkehrsbedingter Luftverschmutzung (NO2) die Asthmaentwicklung und rezidivierendes Keuchen im Kindesalter beeinflusst und wie Innenraum-Endotoxine diese Assoziation verändern.</w:t>
      </w:r>
    </w:p>
    <w:p>
      <w:r>
        <w:rPr>
          <w:b/>
        </w:rPr>
        <w:t xml:space="preserve">Ergebnis: </w:t>
      </w:r>
      <w:r>
        <w:t>NO2-Exposition war mit erhöhtem Asthmarisiko assoziiert (OR 1,36; 95%-KI 1,00–1,84) und rezidivierendem Keuchen (OR 1,34; 95%-KI 1,10–1,64) pro 10 ppb Anstieg. Die Assoziation war signifikant stärker bei hoher Endotoxin-Exposition (OR 3,25; 95%-KI 1,29–8,15), was auf eine Interaktion hindeutet.</w:t>
      </w:r>
    </w:p>
    <w:p>
      <w:r>
        <w:rPr>
          <w:b/>
          <w:sz w:val="19"/>
        </w:rPr>
        <w:t xml:space="preserve">Übertragbarkeit: </w:t>
      </w:r>
      <w:r>
        <w:rPr>
          <w:sz w:val="19"/>
        </w:rPr>
        <w:t>Kanada, gemäßigte Klimazone, vergleichbares Versorgungssystem; Methodik und Interaktionsprinzip relevant für Deutschland</w:t>
      </w:r>
    </w:p>
    <w:p>
      <w:r>
        <w:rPr>
          <w:color w:val="5A7D3A"/>
          <w:sz w:val="18"/>
        </w:rPr>
        <w:t>https://pubmed.ncbi.nlm.nih.gov/42805479/</w:t>
      </w:r>
    </w:p>
    <w:p>
      <w:pPr>
        <w:pStyle w:val="Heading1"/>
      </w:pPr>
      <w:r>
        <w:t>Aufgenommen am 17.10.2026</w:t>
      </w:r>
    </w:p>
    <w:p>
      <w:pPr>
        <w:pStyle w:val="Heading2"/>
      </w:pPr>
      <w:r>
        <w:t>Klimawandel und Gesundheit indigener Kinder – systematische Übersicht</w:t>
      </w:r>
    </w:p>
    <w:p>
      <w:r>
        <w:rPr>
          <w:i/>
          <w:color w:val="666666"/>
          <w:sz w:val="18"/>
        </w:rPr>
        <w:t>Turnbull JJ et al.  ·  Global Health  ·  30.09.2026  ·  PMID 42881393</w:t>
      </w:r>
    </w:p>
    <w:p>
      <w:r>
        <w:t>Systematische Übersicht (53 Studien) der globalen Evidenz zu klimabezogenen Gesundheitsfolgen bei indigenen Kindern und Schwangeren, mit Analyse von Expositions-Ergebnis-Mustern.</w:t>
      </w:r>
    </w:p>
    <w:p>
      <w:r>
        <w:rPr>
          <w:b/>
        </w:rPr>
        <w:t xml:space="preserve">Ergebnis: </w:t>
      </w:r>
      <w:r>
        <w:t>Fünf Hauptgesundheitsfolgen identifiziert: (1) psychosoziales und kulturelles Wohlbefinden, (2) Unterernährung, (3) Infektionskrankheiten, (4) perinatale Gesundheit, (5) Morbidität und Mortalität. Hitzeexposition und hydroklimatische Variabilität waren die häufigsten Klimafaktoren. Psychosoziales Wohlbefinden war das querschnittlichste Thema, verbunden mit allen anderen Gesundheitsbereichen.</w:t>
      </w:r>
    </w:p>
    <w:p>
      <w:r>
        <w:rPr>
          <w:b/>
          <w:sz w:val="19"/>
        </w:rPr>
        <w:t xml:space="preserve">Übertragbarkeit: </w:t>
      </w:r>
      <w:r>
        <w:rPr>
          <w:sz w:val="19"/>
        </w:rPr>
        <w:t>Globale, diverse Populationen; Methodische und konzeptuelle Übertragbarkeit für vulnerable Gruppen in Deutschland begrenzt.</w:t>
      </w:r>
    </w:p>
    <w:p>
      <w:r>
        <w:rPr>
          <w:color w:val="5A7D3A"/>
          <w:sz w:val="18"/>
        </w:rPr>
        <w:t>https://pubmed.ncbi.nlm.nih.gov/42881393/</w:t>
      </w:r>
    </w:p>
    <w:p>
      <w:pPr>
        <w:pStyle w:val="Heading2"/>
      </w:pPr>
      <w:r>
        <w:t>Hitzeschlag: Pathogenese und kritische Versorgung</w:t>
      </w:r>
    </w:p>
    <w:p>
      <w:r>
        <w:rPr>
          <w:i/>
          <w:color w:val="666666"/>
          <w:sz w:val="18"/>
        </w:rPr>
        <w:t>Huang Y et al.  ·  Zhonghua Wei Zhong Bing Ji Jiu Yi Xue  ·  Sept. 2026  ·  PMID 42875250</w:t>
      </w:r>
    </w:p>
    <w:p>
      <w:r>
        <w:t>Analyse der Pathophysiologie des Hitzeschlags als lebensbedrohliches Syndrom mit Körperkerntemperatur &gt;40°C und Multiorganversagen vor dem Hintergrund zunehmender Hitzeextremeereignisse.</w:t>
      </w:r>
    </w:p>
    <w:p>
      <w:r>
        <w:rPr>
          <w:b/>
        </w:rPr>
        <w:t xml:space="preserve">Ergebnis: </w:t>
      </w:r>
      <w:r>
        <w:t>Der Hitzeschlag wird als schwerste Form hitzebezogener Erkrankungen charakterisiert, mit hohen Raten schwerer Erkrankung und Mortalität. Die Studie beschreibt den Kontinuum-Charakter der Progression von milder Hitzeerkrankung zum kritischen Hitzeschlag mit Zentralnervensystem-Störungen (veränderte mentale Zustände, Anfälle, Koma) und Multiorganschäden.</w:t>
      </w:r>
    </w:p>
    <w:p>
      <w:r>
        <w:rPr>
          <w:b/>
          <w:sz w:val="19"/>
        </w:rPr>
        <w:t xml:space="preserve">Übertragbarkeit: </w:t>
      </w:r>
      <w:r>
        <w:rPr>
          <w:sz w:val="19"/>
        </w:rPr>
        <w:t>Pathophysiologische Konzepte gelten in gemäßigten Klimazonen; China, Grundlagen für klinische Entscheidungsfindung.</w:t>
      </w:r>
    </w:p>
    <w:p>
      <w:r>
        <w:rPr>
          <w:color w:val="5A7D3A"/>
          <w:sz w:val="18"/>
        </w:rPr>
        <w:t>https://pubmed.ncbi.nlm.nih.gov/42875250/</w:t>
      </w:r>
    </w:p>
    <w:p>
      <w:pPr>
        <w:pStyle w:val="Heading2"/>
      </w:pPr>
      <w:r>
        <w:t>Luftreinigung und Antibiotika-Resistenz in Innenräumen</w:t>
      </w:r>
    </w:p>
    <w:p>
      <w:r>
        <w:rPr>
          <w:i/>
          <w:color w:val="666666"/>
          <w:sz w:val="18"/>
        </w:rPr>
        <w:t>Mondéjar L et al.  ·  Front Public Health  ·  28.09.2026  ·  PMID 42865742</w:t>
      </w:r>
    </w:p>
    <w:p>
      <w:r>
        <w:t>Bewertung der Wirksamkeit portabler Luftreinigungssysteme auf kultivierbare Bakterien und Antibiotikaresistenzprofile in Büros (Valencia) und Schulklassen (Dublin) vor und nach Intervention.</w:t>
      </w:r>
    </w:p>
    <w:p>
      <w:r>
        <w:rPr>
          <w:b/>
        </w:rPr>
        <w:t xml:space="preserve">Ergebnis: </w:t>
      </w:r>
      <w:r>
        <w:t>In Büroräumen reduzierte sich die Anzahl airborne Isolate von 41 auf 5 nach Luftreinigung. Resistenzgene waren danach nicht nachweisbar. In Schulräumen sank die Zahl airborne Isolate von 102 auf 47 und die Resistenzprävalenz von 43 % auf 21 %. Oberflächenassoziierte Mikrobiota blieb stabiler. Die Luftreinigung reduzierte signifikant airborne bakterielle Besiedlung und Antibiotikaresistenzlast.</w:t>
      </w:r>
    </w:p>
    <w:p>
      <w:r>
        <w:rPr>
          <w:b/>
          <w:sz w:val="19"/>
        </w:rPr>
        <w:t xml:space="preserve">Übertragbarkeit: </w:t>
      </w:r>
      <w:r>
        <w:rPr>
          <w:sz w:val="19"/>
        </w:rPr>
        <w:t>Spanien und Irland, europäische Klimazonen; direkt anwendbar für deutsche Schulen und Büroräume.</w:t>
      </w:r>
    </w:p>
    <w:p>
      <w:r>
        <w:rPr>
          <w:color w:val="5A7D3A"/>
          <w:sz w:val="18"/>
        </w:rPr>
        <w:t>https://pubmed.ncbi.nlm.nih.gov/42865742/</w:t>
      </w:r>
    </w:p>
    <w:p>
      <w:pPr>
        <w:pStyle w:val="Heading2"/>
      </w:pPr>
      <w:r>
        <w:t>Stickstoffoxide und COVID-19-Fälle in Oklahoma</w:t>
      </w:r>
    </w:p>
    <w:p>
      <w:r>
        <w:rPr>
          <w:i/>
          <w:color w:val="666666"/>
          <w:sz w:val="18"/>
        </w:rPr>
        <w:t>Nair RR et al.  ·  J Infect Public Health  ·  09.10.2026  ·  PMID 42863447</w:t>
      </w:r>
    </w:p>
    <w:p>
      <w:r>
        <w:t>Analyse von Stickstoffdioxid (NO₂)-Konzentrationen und COVID-19-Fallzahlen auf County-Ebene in Oklahoma (2020–2022) mittels statistischer Regressionsmodelle zur Erfassung nichtlinearer Assoziationen.</w:t>
      </w:r>
    </w:p>
    <w:p>
      <w:r>
        <w:rPr>
          <w:b/>
        </w:rPr>
        <w:t xml:space="preserve">Ergebnis: </w:t>
      </w:r>
      <w:r>
        <w:t>Unter kontrollierten Modellen (Bevölkerungsdichte, County-Fläche, Anteil älterer Menschen) zeigte NO₂ die stärkste Korrelation mit COVID-19-Fallzahlen. NO₂ hatte die ausgeprägteste Assoziation bei Bevölkerungsdichte-Werten zwischen 48–75. Kohlenmonoxid zeigte signifikante negative lineare Assoziation. Population Density war der stärkste Confounder insgesamt.</w:t>
      </w:r>
    </w:p>
    <w:p>
      <w:r>
        <w:rPr>
          <w:b/>
          <w:sz w:val="19"/>
        </w:rPr>
        <w:t xml:space="preserve">Übertragbarkeit: </w:t>
      </w:r>
      <w:r>
        <w:rPr>
          <w:sz w:val="19"/>
        </w:rPr>
        <w:t>USA, Midwest; begrenzt auf regionale Luftqualität und Methodik, Bevölkerungsstruktur unterscheidet sich von Deutschland.</w:t>
      </w:r>
    </w:p>
    <w:p>
      <w:r>
        <w:rPr>
          <w:color w:val="5A7D3A"/>
          <w:sz w:val="18"/>
        </w:rPr>
        <w:t>https://pubmed.ncbi.nlm.nih.gov/42863447/</w:t>
      </w:r>
    </w:p>
    <w:p>
      <w:pPr>
        <w:pStyle w:val="Heading2"/>
      </w:pPr>
      <w:r>
        <w:t>Wasserqualität während COVID-19-Lockdown: Anthropopause-Effekte in Griechenland</w:t>
      </w:r>
    </w:p>
    <w:p>
      <w:r>
        <w:rPr>
          <w:i/>
          <w:color w:val="666666"/>
          <w:sz w:val="18"/>
        </w:rPr>
        <w:t>Theodoropoulou M et al.  ·  Environ Monit Assess  ·  06.10.2026  ·  PMID 42837016</w:t>
      </w:r>
    </w:p>
    <w:p>
      <w:r>
        <w:t>Analyse von Grundwasserqualität in einem Agrargebiet während COVID-19-Lockdown (2018–2022) mit Vergleich der Wasserbeschaffenheit vor, während und nach der Anthropopause.</w:t>
      </w:r>
    </w:p>
    <w:p>
      <w:r>
        <w:rPr>
          <w:b/>
        </w:rPr>
        <w:t xml:space="preserve">Ergebnis: </w:t>
      </w:r>
      <w:r>
        <w:t>Während der Anthropopause (Lockdown) zeigten sich signifikante Reduktionen von NO₃⁻, Cl⁻ und elektrischer Leitfähigkeit (EC), was auf verbesserte Grundwasserqualität hinweist. Nach Anstieg des Tourismus verschlechterte sich die Wasserqualität wieder. Die Ergebnisse zeigen, dass Reduktion menschlicher Aktivitäten positive Effekte auf natürliche Prozesse hat und unterstreichen die Notwendigkeit systematischer räumlich-zeitlicher Überwachung.</w:t>
      </w:r>
    </w:p>
    <w:p>
      <w:r>
        <w:rPr>
          <w:b/>
          <w:sz w:val="19"/>
        </w:rPr>
        <w:t xml:space="preserve">Übertragbarkeit: </w:t>
      </w:r>
      <w:r>
        <w:rPr>
          <w:sz w:val="19"/>
        </w:rPr>
        <w:t>Südeuropa, Mittelmeerregion; Konzepte für Umweltüberwachung und Wassergüte-Management übertragbar.</w:t>
      </w:r>
    </w:p>
    <w:p>
      <w:r>
        <w:rPr>
          <w:color w:val="5A7D3A"/>
          <w:sz w:val="18"/>
        </w:rPr>
        <w:t>https://pubmed.ncbi.nlm.nih.gov/42837016/</w:t>
      </w:r>
    </w:p>
    <w:p>
      <w:pPr>
        <w:pStyle w:val="Heading2"/>
      </w:pPr>
      <w:r>
        <w:t>Schulische Gesundheitsschutzstrategien bei Hitze- und Waldbrandextremen</w:t>
      </w:r>
    </w:p>
    <w:p>
      <w:r>
        <w:rPr>
          <w:i/>
          <w:color w:val="666666"/>
          <w:sz w:val="18"/>
        </w:rPr>
        <w:t>Sager T  ·  NASN Sch Nurse  ·  29.09.2026  ·  PMID 42808579</w:t>
      </w:r>
    </w:p>
    <w:p>
      <w:r>
        <w:t>Qualitative Analyse der Rolle von Schulkrankenpflegefachpersonen in der Anpassung von Schulen an zunehmende Hitze- und Waldbrandereignisse durch Notfallplanung, Risikokoordinierung und Schutzmaßnahmen.</w:t>
      </w:r>
    </w:p>
    <w:p>
      <w:r>
        <w:rPr>
          <w:b/>
        </w:rPr>
        <w:t xml:space="preserve">Ergebnis: </w:t>
      </w:r>
      <w:r>
        <w:t>Schulkrankenpflegefachpersonen sind als Schnittstelle zwischen Gesundheitswesen und Bildung positioniert, um Schulen bei der Bewältigung von Hitze- und Wildfeuer-Expositionen zu unterstützen. Besonders gefährdet sind Schüler mit Asthma oder chronischen Erkrankungen sowie Personal mit bestehenden Gesundheitsproblemen. Ein Preparedness-Response-Recovery-Rahmen wird empfohlen.</w:t>
      </w:r>
    </w:p>
    <w:p>
      <w:r>
        <w:rPr>
          <w:b/>
          <w:sz w:val="19"/>
        </w:rPr>
        <w:t xml:space="preserve">Übertragbarkeit: </w:t>
      </w:r>
      <w:r>
        <w:rPr>
          <w:sz w:val="19"/>
        </w:rPr>
        <w:t>USA, Klimazone und Schulstruktur teilweise übertragbar; Konzepte für deutsche Schulen adaptierbar.</w:t>
      </w:r>
    </w:p>
    <w:p>
      <w:r>
        <w:rPr>
          <w:color w:val="5A7D3A"/>
          <w:sz w:val="18"/>
        </w:rPr>
        <w:t>https://pubmed.ncbi.nlm.nih.gov/42808579/</w:t>
      </w:r>
    </w:p>
    <w:p>
      <w:pPr>
        <w:pStyle w:val="Heading1"/>
      </w:pPr>
      <w:r>
        <w:t>Aufgenommen am 16.10.2026</w:t>
      </w:r>
    </w:p>
    <w:p>
      <w:pPr>
        <w:pStyle w:val="Heading2"/>
      </w:pPr>
      <w:r>
        <w:t>Validierung von Luftqualitäts-Frühwarnsystemen in Südostasien</w:t>
      </w:r>
    </w:p>
    <w:p>
      <w:r>
        <w:rPr>
          <w:i/>
          <w:color w:val="666666"/>
          <w:sz w:val="18"/>
        </w:rPr>
        <w:t>Mahawar C et al.  ·  Front Public Health  ·  30.09.2026  ·  PMID 42877354</w:t>
      </w:r>
    </w:p>
    <w:p>
      <w:r>
        <w:t>Systematischer Review evaluierte die Vorhersagegenauigkeit verfügbarer Luftqualitäts-Frühwarnsysteme in 14 Studien aus Indien, Bangladesch und Thailand.</w:t>
      </w:r>
    </w:p>
    <w:p>
      <w:r>
        <w:rPr>
          <w:b/>
        </w:rPr>
        <w:t xml:space="preserve">Ergebnis: </w:t>
      </w:r>
      <w:r>
        <w:t>Hybrid-Deep-Learning-Modelle zeigten niedrigste RMSE (0,84–4,61 μg/m³) und höchste erklärte Varianz (R² bis 0,998). Machine-Learning erreichte bis 98,34% kategoriale Genauigkeit. Allerdings: hohes Bias-Risiko durch unzureichende externe Validierung und Overfitting in den meisten Studien.</w:t>
      </w:r>
    </w:p>
    <w:p>
      <w:r>
        <w:rPr>
          <w:b/>
          <w:sz w:val="19"/>
        </w:rPr>
        <w:t xml:space="preserve">Übertragbarkeit: </w:t>
      </w:r>
      <w:r>
        <w:rPr>
          <w:sz w:val="19"/>
        </w:rPr>
        <w:t>Nur Methodik übertragbar: Südasien hat andere Anpassungskapazität und Temperaturschwellen; externe Validierung essentiell für Systemzuverlässigkeit.</w:t>
      </w:r>
    </w:p>
    <w:p>
      <w:r>
        <w:rPr>
          <w:color w:val="5A7D3A"/>
          <w:sz w:val="18"/>
        </w:rPr>
        <w:t>https://pubmed.ncbi.nlm.nih.gov/42877354/</w:t>
      </w:r>
    </w:p>
    <w:p>
      <w:pPr>
        <w:pStyle w:val="Heading2"/>
      </w:pPr>
      <w:r>
        <w:t>Hitzeadaptation bei Großsportevents: Koordination und Frühwarnsysteme</w:t>
      </w:r>
    </w:p>
    <w:p>
      <w:r>
        <w:rPr>
          <w:i/>
          <w:color w:val="666666"/>
          <w:sz w:val="18"/>
        </w:rPr>
        <w:t>Zhang J et al.  ·  Front Public Health  ·  30.09.2026  ·  PMID 42877216</w:t>
      </w:r>
    </w:p>
    <w:p>
      <w:r>
        <w:t>Mathematisches Spieltheorie-Modell untersuchte optimale Koordination und Finanzierung von Hitzerisiko-Minderungsmaßnahmen zwischen Behörden, Veranstaltern und Teams.</w:t>
      </w:r>
    </w:p>
    <w:p>
      <w:r>
        <w:rPr>
          <w:b/>
        </w:rPr>
        <w:t xml:space="preserve">Ergebnis: </w:t>
      </w:r>
      <w:r>
        <w:t>Kooperation senkte modellierte Soziallast um 21,9% gegenüber Nash-Gleichgewicht und um 23,1% gegenüber Hierarchie-Lösung. Spitzenwert des residualen Hitzerisikos fiel um 28,0–28,7%. Effektives Vorwarnfenster lag bei 2,2–2,6 Zeiteinheiten.</w:t>
      </w:r>
    </w:p>
    <w:p>
      <w:r>
        <w:rPr>
          <w:b/>
          <w:sz w:val="19"/>
        </w:rPr>
        <w:t xml:space="preserve">Übertragbarkeit: </w:t>
      </w:r>
      <w:r>
        <w:rPr>
          <w:sz w:val="19"/>
        </w:rPr>
        <w:t>Modellstudie China: Methodik auf Großveranstaltungen weltweit anwendbar, Koordinationsprinzipien klimazonenunabhängig.</w:t>
      </w:r>
    </w:p>
    <w:p>
      <w:r>
        <w:rPr>
          <w:color w:val="5A7D3A"/>
          <w:sz w:val="18"/>
        </w:rPr>
        <w:t>https://pubmed.ncbi.nlm.nih.gov/42877216/</w:t>
      </w:r>
    </w:p>
    <w:p>
      <w:pPr>
        <w:pStyle w:val="Heading2"/>
      </w:pPr>
      <w:r>
        <w:t>Schulungsbedarf für Planetary Health in Italien</w:t>
      </w:r>
    </w:p>
    <w:p>
      <w:r>
        <w:rPr>
          <w:i/>
          <w:color w:val="666666"/>
          <w:sz w:val="18"/>
        </w:rPr>
        <w:t>Panariello F et al.  ·  Front Public Health  ·  30.09.2026  ·  PMID 42876801</w:t>
      </w:r>
    </w:p>
    <w:p>
      <w:r>
        <w:t>Explorative Befragung von 14 italienischen Institutionen (66,7% Antwortquote) zu Fortbildungsbedarfen im Bereich Umwelt- und Gesundheit.</w:t>
      </w:r>
    </w:p>
    <w:p>
      <w:r>
        <w:rPr>
          <w:b/>
        </w:rPr>
        <w:t xml:space="preserve">Ergebnis: </w:t>
      </w:r>
      <w:r>
        <w:t>Hauptbedarfe waren: Verständnis für Pollutionseffekte auf Gesundheit (78,6%), Stakeholder-Engagement (64,3%), fortgeschrittene Umweltepidemiologie (57,1%). Bevorzugte Formate: Seminare (78,6%), spezialisierte Kurzkurse (71,4%), Online-Lernen (50%).</w:t>
      </w:r>
    </w:p>
    <w:p>
      <w:r>
        <w:rPr>
          <w:b/>
          <w:sz w:val="19"/>
        </w:rPr>
        <w:t xml:space="preserve">Übertragbarkeit: </w:t>
      </w:r>
      <w:r>
        <w:rPr>
          <w:sz w:val="19"/>
        </w:rPr>
        <w:t>Italien: Direkter Bezug zu deutschsprachigen Institutionen, EU-Kontext, Prioritäten für Ausbildungsstrukturen übertragbar.</w:t>
      </w:r>
    </w:p>
    <w:p>
      <w:r>
        <w:rPr>
          <w:color w:val="5A7D3A"/>
          <w:sz w:val="18"/>
        </w:rPr>
        <w:t>https://pubmed.ncbi.nlm.nih.gov/42876801/</w:t>
      </w:r>
    </w:p>
    <w:p>
      <w:pPr>
        <w:pStyle w:val="Heading2"/>
      </w:pPr>
      <w:r>
        <w:t>Temperaturvariabilität und Zahngesundheit in der EU</w:t>
      </w:r>
    </w:p>
    <w:p>
      <w:r>
        <w:rPr>
          <w:i/>
          <w:color w:val="666666"/>
          <w:sz w:val="18"/>
        </w:rPr>
        <w:t>Lupita C et al.  ·  Front Public Health  ·  30.09.2026  ·  PMID 42876755</w:t>
      </w:r>
    </w:p>
    <w:p>
      <w:r>
        <w:t>Ökologische Panel-Analyse in 27 EU-Ländern 2016–2023 untersuchte Assoziationen zwischen Jahrestemperatur, Hitzetagen und Karies-, Parodontal- und Zahnversorgungsergebnissen.</w:t>
      </w:r>
    </w:p>
    <w:p>
      <w:r>
        <w:rPr>
          <w:b/>
        </w:rPr>
        <w:t xml:space="preserve">Ergebnis: </w:t>
      </w:r>
      <w:r>
        <w:t>Weder mittlere Jahrestemperatur noch Extremhitzeereignisse waren signifikant mit den Outcome-Variablen assoziiert (R² 0,032–0,056). Wild-Cluster-Bootstrap-Tests bestätigten Nullassoziationen auf 5%-Niveau. Nicht-lineare und Interaktionsterme waren ebenfalls nicht signifikant.</w:t>
      </w:r>
    </w:p>
    <w:p>
      <w:r>
        <w:rPr>
          <w:b/>
          <w:sz w:val="19"/>
        </w:rPr>
        <w:t xml:space="preserve">Übertragbarkeit: </w:t>
      </w:r>
      <w:r>
        <w:rPr>
          <w:sz w:val="19"/>
        </w:rPr>
        <w:t>27 EU-Länder inklusive Deutschland: Zeigt Grenzen kurzfristiger Klimavariabilität für Zahngesundheit auf; längere Paneldaten und räumlich aufgelöste Exposuremaße nötig.</w:t>
      </w:r>
    </w:p>
    <w:p>
      <w:r>
        <w:rPr>
          <w:color w:val="5A7D3A"/>
          <w:sz w:val="18"/>
        </w:rPr>
        <w:t>https://pubmed.ncbi.nlm.nih.gov/42876755/</w:t>
      </w:r>
    </w:p>
    <w:p>
      <w:pPr>
        <w:pStyle w:val="Heading2"/>
      </w:pPr>
      <w:r>
        <w:t>Verkehrsemissionen und Neuroinflammation im Vordemenzstadium</w:t>
      </w:r>
    </w:p>
    <w:p>
      <w:r>
        <w:rPr>
          <w:i/>
          <w:color w:val="666666"/>
          <w:sz w:val="18"/>
        </w:rPr>
        <w:t>Vilor-Tejedor N et al.  ·  Alzheimers Dement  ·  Okt. 2026  ·  PMID 42872554</w:t>
      </w:r>
    </w:p>
    <w:p>
      <w:r>
        <w:t>Longitudinale Kohorte mit 226 kognitiv Unauffälligen untersuchte über 3 Jahre die Assoziationen zwischen NO2-, PM10- und PM2.5-Exposition und zerebrospinalen Biomarkern.</w:t>
      </w:r>
    </w:p>
    <w:p>
      <w:r>
        <w:rPr>
          <w:b/>
        </w:rPr>
        <w:t xml:space="preserve">Ergebnis: </w:t>
      </w:r>
      <w:r>
        <w:t>Höhere Luftverschmutzung war mit longitudinalen Anstiegen von Glial Fibrillary Acidic Protein (GFAP) und IL-6 assoziiert, primär bei Frauen. GFAP vermittelte teilweise die Assoziation zwischen Schadstoffexposition und Verschlechterung der exekutiven Funktion.</w:t>
      </w:r>
    </w:p>
    <w:p>
      <w:r>
        <w:rPr>
          <w:b/>
          <w:sz w:val="19"/>
        </w:rPr>
        <w:t xml:space="preserve">Übertragbarkeit: </w:t>
      </w:r>
      <w:r>
        <w:rPr>
          <w:sz w:val="19"/>
        </w:rPr>
        <w:t>Spanien/Niederlande: Barcelona-Kohorte, europäische Methodik und Klimazone, technisch hochwertig.</w:t>
      </w:r>
    </w:p>
    <w:p>
      <w:r>
        <w:rPr>
          <w:color w:val="5A7D3A"/>
          <w:sz w:val="18"/>
        </w:rPr>
        <w:t>https://pubmed.ncbi.nlm.nih.gov/42872554/</w:t>
      </w:r>
    </w:p>
    <w:p>
      <w:pPr>
        <w:pStyle w:val="Heading2"/>
      </w:pPr>
      <w:r>
        <w:t>Luftverschmutzung und Atemwegserkrankungen im Säuglingsalter</w:t>
      </w:r>
    </w:p>
    <w:p>
      <w:r>
        <w:rPr>
          <w:i/>
          <w:color w:val="666666"/>
          <w:sz w:val="18"/>
        </w:rPr>
        <w:t>Gómez-Olarte S et al.  ·  Environ Pollut  ·  15.11.2026  ·  PMID 42680050</w:t>
      </w:r>
    </w:p>
    <w:p>
      <w:r>
        <w:t>Studie untersuchte in 606 Einjährigen die Assoziation zwischen PM2.5-, PM10- und NO2-Exposition und Bronchitis sowie Entzündungsmarker.</w:t>
      </w:r>
    </w:p>
    <w:p>
      <w:r>
        <w:rPr>
          <w:b/>
        </w:rPr>
        <w:t xml:space="preserve">Ergebnis: </w:t>
      </w:r>
      <w:r>
        <w:t>PM2.5-Exposition war bei Jungen mit erhöhter Bronchitis-Odds assoziiert (aOR 1,50, 95%-KI 1,02–2,23) und bei beiden Geschlechtern mit erhöhten IL-8-Konzentrationen verbunden (Jungen +23,8%, Mädchen +31,9%). Bei hohen Schadstoffkonzentrationen (≥60. Perzentil) zeigten sich positive Assoziationen mit IL-8 und TNF-α.</w:t>
      </w:r>
    </w:p>
    <w:p>
      <w:r>
        <w:rPr>
          <w:b/>
          <w:sz w:val="19"/>
        </w:rPr>
        <w:t xml:space="preserve">Übertragbarkeit: </w:t>
      </w:r>
      <w:r>
        <w:rPr>
          <w:sz w:val="19"/>
        </w:rPr>
        <w:t>Deutschland: Studie aus Leipzig, vergleichbare gemäßigte Klimazone und Versorgungsstruktur.</w:t>
      </w:r>
    </w:p>
    <w:p>
      <w:r>
        <w:rPr>
          <w:color w:val="5A7D3A"/>
          <w:sz w:val="18"/>
        </w:rPr>
        <w:t>https://pubmed.ncbi.nlm.nih.gov/42680050/</w:t>
      </w:r>
    </w:p>
    <w:p>
      <w:pPr>
        <w:pStyle w:val="Heading1"/>
      </w:pPr>
      <w:r>
        <w:t>Aufgenommen am 15.10.2026</w:t>
      </w:r>
    </w:p>
    <w:p>
      <w:pPr>
        <w:pStyle w:val="Heading2"/>
      </w:pPr>
      <w:r>
        <w:t>Laktat als Marker für Gerinnungskomplikationen bei Hitzschlag</w:t>
      </w:r>
    </w:p>
    <w:p>
      <w:r>
        <w:rPr>
          <w:i/>
          <w:color w:val="666666"/>
          <w:sz w:val="18"/>
        </w:rPr>
        <w:t>Liu F et al.  ·  Zhonghua Wei Zhong Bing Ji Jiu Yi Xue  ·  Sept. 2026  ·  PMID 42875244</w:t>
      </w:r>
    </w:p>
    <w:p>
      <w:r>
        <w:t>Multicenter-Kohortenstudie mit 305 Hitzschlag-Patienten untersuchte die Beziehung zwischen Serumlaktat und disseminierter intravaskulärer Gerinnung (DIC).</w:t>
      </w:r>
    </w:p>
    <w:p>
      <w:r>
        <w:rPr>
          <w:b/>
        </w:rPr>
        <w:t xml:space="preserve">Ergebnis: </w:t>
      </w:r>
      <w:r>
        <w:t>Erhöhte Laktatspiegel waren unabhängig mit erhöhtem DIC-Risiko assoziiert (OR 1,815; 95%-KI 1,494–2,203; p &lt; 0,001). Das Laktat-basierte Vorhersagemodell zeigte exzellente Diskriminationsfähigkeit (AUC 0,901; 95%-KI 0,860–0,941) mit Sensitivität 85,6 % und Spezifität 81,6 %. Laktat vermittelte 16,29 % der Beziehung zwischen Körpertemperatur und DIC.</w:t>
      </w:r>
    </w:p>
    <w:p>
      <w:r>
        <w:rPr>
          <w:b/>
          <w:sz w:val="19"/>
        </w:rPr>
        <w:t xml:space="preserve">Übertragbarkeit: </w:t>
      </w:r>
      <w:r>
        <w:rPr>
          <w:sz w:val="19"/>
        </w:rPr>
        <w:t>China; klinisch-intensivmedizinische Perspektive auf Hitzeschlag-Pathophysiologie übertragbar</w:t>
      </w:r>
    </w:p>
    <w:p>
      <w:r>
        <w:rPr>
          <w:color w:val="5A7D3A"/>
          <w:sz w:val="18"/>
        </w:rPr>
        <w:t>https://pubmed.ncbi.nlm.nih.gov/42875244/</w:t>
      </w:r>
    </w:p>
    <w:p>
      <w:pPr>
        <w:pStyle w:val="Heading2"/>
      </w:pPr>
      <w:r>
        <w:t>Von Fledermäusen übertragene Zoonosen: Klimawandel und Spillover-Risiken</w:t>
      </w:r>
    </w:p>
    <w:p>
      <w:r>
        <w:rPr>
          <w:i/>
          <w:color w:val="666666"/>
          <w:sz w:val="18"/>
        </w:rPr>
        <w:t>Stanhope J et al.  ·  BMJ  ·  14.10.2026  ·  PMID 42875048</w:t>
      </w:r>
    </w:p>
    <w:p>
      <w:r>
        <w:t>Narrative Review der evidenzgestützten Übertragungswege, klinischen Auswirkungen und Präventionsstrategien für Fledermaus-assoziierte Pathogene (Ebola, Marburg, Nipah, Hendra, Tollwut, australisches Lyssavirus, Histoplasma).</w:t>
      </w:r>
    </w:p>
    <w:p>
      <w:r>
        <w:rPr>
          <w:b/>
        </w:rPr>
        <w:t xml:space="preserve">Ergebnis: </w:t>
      </w:r>
      <w:r>
        <w:t>Klimawandel und Biodiversitätsverlust treiben das Spillover-Risiko von sieben bedeutenden human-pathogenen Erregern. Überlebende berichten anhaltende neurologische und neuropsychiatrische Langzeitfolgen. Präventionsstrategien umfassen ökologische Stewardship, Reduktion der Exposition von Mensch und Haustieren, Isolation Infizierter und Vakzination; für Histoplasma und Ebolavirus sind nun spezifische Therapeutika verfügbar.</w:t>
      </w:r>
    </w:p>
    <w:p>
      <w:r>
        <w:rPr>
          <w:b/>
          <w:sz w:val="19"/>
        </w:rPr>
        <w:t xml:space="preserve">Übertragbarkeit: </w:t>
      </w:r>
      <w:r>
        <w:rPr>
          <w:sz w:val="19"/>
        </w:rPr>
        <w:t>Review; Prinzipien der Zoonose-Prävention und Klimaadaptation klimazonenübergreifend relevant</w:t>
      </w:r>
    </w:p>
    <w:p>
      <w:r>
        <w:rPr>
          <w:color w:val="5A7D3A"/>
          <w:sz w:val="18"/>
        </w:rPr>
        <w:t>https://pubmed.ncbi.nlm.nih.gov/42875048/</w:t>
      </w:r>
    </w:p>
    <w:p>
      <w:pPr>
        <w:pStyle w:val="Heading2"/>
      </w:pPr>
      <w:r>
        <w:t>Globale Coexposition gegenüber Hitzewellen und Waldbrandrauch nimmt zu</w:t>
      </w:r>
    </w:p>
    <w:p>
      <w:r>
        <w:rPr>
          <w:i/>
          <w:color w:val="666666"/>
          <w:sz w:val="18"/>
        </w:rPr>
        <w:t>Wu Y et al.  ·  Sci Adv  ·  16.10.2026  ·  PMID 42873846</w:t>
      </w:r>
    </w:p>
    <w:p>
      <w:r>
        <w:t>Die Studie quantifiziert die weltweite Bevölkerung, die gleichzeitig Hitzewellen und Luftverschmutzung aus Waldbränden ausgesetzt ist, über den Zeitraum 2000–2019.</w:t>
      </w:r>
    </w:p>
    <w:p>
      <w:r>
        <w:rPr>
          <w:b/>
        </w:rPr>
        <w:t xml:space="preserve">Ergebnis: </w:t>
      </w:r>
      <w:r>
        <w:t>52,4 % der bevölkerten Gebiete und 55,9 % der Weltbevölkerung erlebten steigende Coexposition. Im Durchschnitt waren 916 Millionen Menschen pro Jahr mindestens einen Tag betroffen, mit Anstieg um 287 Millionen pro Jahrzehnt. Die durchschnittliche Expositionsdauer pro Person stieg von 1,0 Tagen (2000–2009) auf 1,7 Tage (2010–2019). Länder mit niedrigem Entwicklungsindex waren am stärksten betroffen.</w:t>
      </w:r>
    </w:p>
    <w:p>
      <w:r>
        <w:rPr>
          <w:b/>
          <w:sz w:val="19"/>
        </w:rPr>
        <w:t xml:space="preserve">Übertragbarkeit: </w:t>
      </w:r>
      <w:r>
        <w:rPr>
          <w:sz w:val="19"/>
        </w:rPr>
        <w:t>Methodik zur Quantifizierung kombinierter Extremwetter-Expositionen; globale Trends übertragbar auf Risikomodellierung</w:t>
      </w:r>
    </w:p>
    <w:p>
      <w:r>
        <w:rPr>
          <w:color w:val="5A7D3A"/>
          <w:sz w:val="18"/>
        </w:rPr>
        <w:t>https://pubmed.ncbi.nlm.nih.gov/42873846/</w:t>
      </w:r>
    </w:p>
    <w:p>
      <w:pPr>
        <w:pStyle w:val="Heading2"/>
      </w:pPr>
      <w:r>
        <w:t>Klimakrise und psychische Gesundheit: Unsicherheit als Treiber von Angststörungen</w:t>
      </w:r>
    </w:p>
    <w:p>
      <w:r>
        <w:rPr>
          <w:i/>
          <w:color w:val="666666"/>
          <w:sz w:val="18"/>
        </w:rPr>
        <w:t>Zysset A et al.  ·  Front Public Health  ·  29.09.2026  ·  PMID 42871219</w:t>
      </w:r>
    </w:p>
    <w:p>
      <w:r>
        <w:t>Längsschnitt-Studie an Schweizer Studierenden (N = 1.001) untersuchte die Assoziation zwischen Unsicherheit (persönlich und klimabezogen) und Angstsymptomen post-COVID.</w:t>
      </w:r>
    </w:p>
    <w:p>
      <w:r>
        <w:rPr>
          <w:b/>
        </w:rPr>
        <w:t xml:space="preserve">Ergebnis: </w:t>
      </w:r>
      <w:r>
        <w:t>Unsicherheit war positiv mit Angstsymptomen assoziiert (β = 0,50; 95%-KI 0,44–0,56). Selbstwirksamkeit (β = −0,22; 95%-KI −0,29, −0,15) und Resilienz (β = −0,08; 95%-KI −0,29, −0,03) waren negativ assoziiert. Das Modell erklärte 39 % der Angstsymptome. Angstniveaus zeigten post-COVID Plateau, nicht Rückgang.</w:t>
      </w:r>
    </w:p>
    <w:p>
      <w:r>
        <w:rPr>
          <w:b/>
          <w:sz w:val="19"/>
        </w:rPr>
        <w:t xml:space="preserve">Übertragbarkeit: </w:t>
      </w:r>
      <w:r>
        <w:rPr>
          <w:sz w:val="19"/>
        </w:rPr>
        <w:t>Schweiz; gemäßigte Klimazone; Unsicherheit als psychischer Klima-Krankheitsmechanismus</w:t>
      </w:r>
    </w:p>
    <w:p>
      <w:r>
        <w:rPr>
          <w:color w:val="5A7D3A"/>
          <w:sz w:val="18"/>
        </w:rPr>
        <w:t>https://pubmed.ncbi.nlm.nih.gov/42871219/</w:t>
      </w:r>
    </w:p>
    <w:p>
      <w:pPr>
        <w:pStyle w:val="Heading2"/>
      </w:pPr>
      <w:r>
        <w:t>Automatisierte Pollenüberwachung für Asthma-Vorhersage</w:t>
      </w:r>
    </w:p>
    <w:p>
      <w:r>
        <w:rPr>
          <w:i/>
          <w:color w:val="666666"/>
          <w:sz w:val="18"/>
        </w:rPr>
        <w:t>Lampugnani ER et al.  ·  Environ Monit Assess  ·  13.10.2026  ·  PMID 42870105</w:t>
      </w:r>
    </w:p>
    <w:p>
      <w:r>
        <w:t>Validierungsstudie der automatisierten Pollenmesskammer SwisensPoleno Mars gegen manuelle Burkard-Methode in Melbourne zur Vorhersage von Gewitter-assoziiertem Asthma.</w:t>
      </w:r>
    </w:p>
    <w:p>
      <w:r>
        <w:rPr>
          <w:b/>
        </w:rPr>
        <w:t xml:space="preserve">Ergebnis: </w:t>
      </w:r>
      <w:r>
        <w:t>Starke Korrelation für Gesamtpollen (R² = 0,92), Gräser (R² = 0,92) und Zypresse (R² = 0,86). Gräserpollen, zentral für Gewitter-Asthma-Prognosen, zeigten besonders hohe Übereinstimmung und konsistente Klassifizierung in operative Risikoschwellen. Das automatisierte System reproduzierte erwartete Tagesrhythmen.</w:t>
      </w:r>
    </w:p>
    <w:p>
      <w:r>
        <w:rPr>
          <w:b/>
          <w:sz w:val="19"/>
        </w:rPr>
        <w:t xml:space="preserve">Übertragbarkeit: </w:t>
      </w:r>
      <w:r>
        <w:rPr>
          <w:sz w:val="19"/>
        </w:rPr>
        <w:t>Australien; Methodik und Schwellwerte nicht auf gemäßigte Zone übertragbar, aber Technik relevant</w:t>
      </w:r>
    </w:p>
    <w:p>
      <w:r>
        <w:rPr>
          <w:color w:val="5A7D3A"/>
          <w:sz w:val="18"/>
        </w:rPr>
        <w:t>https://pubmed.ncbi.nlm.nih.gov/42870105/</w:t>
      </w:r>
    </w:p>
    <w:p>
      <w:pPr>
        <w:pStyle w:val="Heading2"/>
      </w:pPr>
      <w:r>
        <w:t>Luftgestützte Mikroplastik: Exposition, Quellen und Gesundheitsrisiken</w:t>
      </w:r>
    </w:p>
    <w:p>
      <w:r>
        <w:rPr>
          <w:i/>
          <w:color w:val="666666"/>
          <w:sz w:val="18"/>
        </w:rPr>
        <w:t>Cao L et al.  ·  Environ Monit Assess  ·  07.10.2026  ·  PMID 42844460</w:t>
      </w:r>
    </w:p>
    <w:p>
      <w:r>
        <w:t>Systematische Review von 161 Publikationen (2021–2025) zur physikalischen Charakterisierung, Verteilung, menschlichen Exposition und Toxikologie von atmosphärischen Mikroplastiken.</w:t>
      </w:r>
    </w:p>
    <w:p>
      <w:r>
        <w:rPr>
          <w:b/>
        </w:rPr>
        <w:t xml:space="preserve">Ergebnis: </w:t>
      </w:r>
      <w:r>
        <w:t>Inhalation und dermale Exposition als Hauptaufnahmepfade; Partikel &lt; 10 μm penetrieren Atemwegsbarrieren. Systematische Diskrepanz von Faktor 10–100 zwischen aktiver und passiver Probenahme. Indoorkonzentrationen stark abhängig von Lüftung und lokalisierten Punktquellen. Molekulare Wirkmechanismen: oxidativer Stress und Entzündungsantwort; Langzeitvergiftungsmechanismen noch unklar.</w:t>
      </w:r>
    </w:p>
    <w:p>
      <w:r>
        <w:rPr>
          <w:b/>
          <w:sz w:val="19"/>
        </w:rPr>
        <w:t xml:space="preserve">Übertragbarkeit: </w:t>
      </w:r>
      <w:r>
        <w:rPr>
          <w:sz w:val="19"/>
        </w:rPr>
        <w:t>Klimaunabhängige Umweltexposition; Methodik-Standardisierung global relevant</w:t>
      </w:r>
    </w:p>
    <w:p>
      <w:r>
        <w:rPr>
          <w:color w:val="5A7D3A"/>
          <w:sz w:val="18"/>
        </w:rPr>
        <w:t>https://pubmed.ncbi.nlm.nih.gov/42844460/</w:t>
      </w:r>
    </w:p>
    <w:p>
      <w:pPr>
        <w:pStyle w:val="Heading1"/>
      </w:pPr>
      <w:r>
        <w:t>Aufgenommen am 14.10.2026</w:t>
      </w:r>
    </w:p>
    <w:p>
      <w:pPr>
        <w:pStyle w:val="Heading2"/>
      </w:pPr>
      <w:r>
        <w:t>Temperaturextreme und Autoimmunerkrankungen</w:t>
      </w:r>
    </w:p>
    <w:p>
      <w:r>
        <w:rPr>
          <w:i/>
          <w:color w:val="666666"/>
          <w:sz w:val="18"/>
        </w:rPr>
        <w:t>Robichon K et al.  ·  Semin Immunopathol  ·  13.10.2026  ·  PMID 42867511</w:t>
      </w:r>
    </w:p>
    <w:p>
      <w:r>
        <w:t>Narrative Übersichtsarbeit über die biologischen Mechanismen, durch die Hitze und Kälte die Entwicklung und den Krankheitsverlauf von Autoimmunerkrankungen beeinflussen.</w:t>
      </w:r>
    </w:p>
    <w:p>
      <w:r>
        <w:rPr>
          <w:b/>
        </w:rPr>
        <w:t xml:space="preserve">Ergebnis: </w:t>
      </w:r>
      <w:r>
        <w:t>Hitze und Kälte verändern Immunzellfunktion durch Effekte auf Zellsignalisierung, Zytokinproduktion und Barrierenintegrität. Evidenz zeigt saisonale/regionale Temperaturmuster mit Raten von Autoimmunerkrankungen assoziiert; Hitzewellen verschärfen Fatigue und neurologische Symptome bei Multipler Sklerose, Kältephasen triggern Gefäßverengung und Gewebenekrose bei systemischer Sklerose.</w:t>
      </w:r>
    </w:p>
    <w:p>
      <w:r>
        <w:rPr>
          <w:b/>
          <w:sz w:val="19"/>
        </w:rPr>
        <w:t xml:space="preserve">Übertragbarkeit: </w:t>
      </w:r>
      <w:r>
        <w:rPr>
          <w:sz w:val="19"/>
        </w:rPr>
        <w:t>Mitteleuropäische Klimazone, mechanismusbasierte Prinzipien unabhängig von Temperaturschwellen</w:t>
      </w:r>
    </w:p>
    <w:p>
      <w:r>
        <w:rPr>
          <w:color w:val="5A7D3A"/>
          <w:sz w:val="18"/>
        </w:rPr>
        <w:t>https://pubmed.ncbi.nlm.nih.gov/42867511/</w:t>
      </w:r>
    </w:p>
    <w:p>
      <w:pPr>
        <w:pStyle w:val="Heading2"/>
      </w:pPr>
      <w:r>
        <w:t>Kyasanur-Waldkrankheit: Klimawandel und Zoonose-Risiko in Europa</w:t>
      </w:r>
    </w:p>
    <w:p>
      <w:r>
        <w:rPr>
          <w:i/>
          <w:color w:val="666666"/>
          <w:sz w:val="18"/>
        </w:rPr>
        <w:t>Špačková M et al.  ·  Epidemiol Mikrobiol Imunol  ·  2026  ·  PMID 42859865</w:t>
      </w:r>
    </w:p>
    <w:p>
      <w:r>
        <w:t>Narrative Übersichtsarbeit zur Kyasanur-Waldkrankheit, einer durch Klimawandel, Entwaldung und erhöhten Menschenkontakt mit Wäldern expandierenden Zoonose in Indien, mit Bewertung des Risikos für die Tschechische Republik.</w:t>
      </w:r>
    </w:p>
    <w:p>
      <w:r>
        <w:rPr>
          <w:b/>
        </w:rPr>
        <w:t xml:space="preserve">Ergebnis: </w:t>
      </w:r>
      <w:r>
        <w:t>Kyasanur-Waldkrankheit ist eine Zecken-übertragene hämorrhagische Erkrankung mit Fallsterblichkeit 3–10%; Fälle in Indien nehmen zu, Verbreitungsgebiet expandiert. Ausbreitungsgebiete an Klimawandel, Entwaldung und menschliche Waldkontakte gebunden. In der Tschechischen Republik bislang nicht gemeldet, aber importierte Fälle nach Reisen möglich. One-Health-Ansatz und verstärkte Surveillance arboviraler Erreger in Mitteleuropa erforderlich.</w:t>
      </w:r>
    </w:p>
    <w:p>
      <w:r>
        <w:rPr>
          <w:b/>
          <w:sz w:val="19"/>
        </w:rPr>
        <w:t xml:space="preserve">Übertragbarkeit: </w:t>
      </w:r>
      <w:r>
        <w:rPr>
          <w:sz w:val="19"/>
        </w:rPr>
        <w:t>Mitteleuropa, klimazonale Anpassung aktuell nicht betroffen; Surveillance-Struktur und One-Health-Prinzipien relevant</w:t>
      </w:r>
    </w:p>
    <w:p>
      <w:r>
        <w:rPr>
          <w:color w:val="5A7D3A"/>
          <w:sz w:val="18"/>
        </w:rPr>
        <w:t>https://pubmed.ncbi.nlm.nih.gov/42859865/</w:t>
      </w:r>
    </w:p>
    <w:p>
      <w:pPr>
        <w:pStyle w:val="Heading2"/>
      </w:pPr>
      <w:r>
        <w:t>Luftverschmutzung und Frühauftreten von Lungenkrebs</w:t>
      </w:r>
    </w:p>
    <w:p>
      <w:r>
        <w:rPr>
          <w:i/>
          <w:color w:val="666666"/>
          <w:sz w:val="18"/>
        </w:rPr>
        <w:t>Gao YY et al.  ·  Carcinogenesis  ·  07.07.2026  ·  PMID 42830393</w:t>
      </w:r>
    </w:p>
    <w:p>
      <w:r>
        <w:t>Narrative Übersichtsarbeit zu Mechanismen, durch die Luft- und Haushaltsverschmutzung frühe Lungenkarzinogenese antreiben, und zu frühen Biomarkern und Chemoprävention.</w:t>
      </w:r>
    </w:p>
    <w:p>
      <w:r>
        <w:rPr>
          <w:b/>
        </w:rPr>
        <w:t xml:space="preserve">Ergebnis: </w:t>
      </w:r>
      <w:r>
        <w:t>Luftverschmutzung (PM2,5, PM10) ist für &gt;14% der globalen Lungenkrebstodesfälle verantwortlich. 99% der Weltbevölkerung atmet Luft über WHO-Richtliniengrenzen (5 μg/m³ PM2,5, 15 μg/m³ PM10). Mechanismen: DNA-Schaden, Telomerverkürzung, mitochondriale Beeinträchtigung, chronische Inflammation (CXCL13, IL-1β), Immunevasion (PD-L1, CD47-SIRPα), Dysbiose. Validierte Frühbiomarker vorhanden; Multimarker-Kombinationen zeigen verbesserte Effizienz.</w:t>
      </w:r>
    </w:p>
    <w:p>
      <w:r>
        <w:rPr>
          <w:b/>
          <w:sz w:val="19"/>
        </w:rPr>
        <w:t xml:space="preserve">Übertragbarkeit: </w:t>
      </w:r>
      <w:r>
        <w:rPr>
          <w:sz w:val="19"/>
        </w:rPr>
        <w:t>Global relevant, absolute Schwellwerte für Deutschland übertragbar</w:t>
      </w:r>
    </w:p>
    <w:p>
      <w:r>
        <w:rPr>
          <w:color w:val="5A7D3A"/>
          <w:sz w:val="18"/>
        </w:rPr>
        <w:t>https://pubmed.ncbi.nlm.nih.gov/42830393/</w:t>
      </w:r>
    </w:p>
    <w:p>
      <w:pPr>
        <w:pStyle w:val="Heading2"/>
      </w:pPr>
      <w:r>
        <w:t>Luftschadstoffexposition in der Frühschwangerschaft und angeborene Herzfehler</w:t>
      </w:r>
    </w:p>
    <w:p>
      <w:r>
        <w:rPr>
          <w:i/>
          <w:color w:val="666666"/>
          <w:sz w:val="18"/>
        </w:rPr>
        <w:t>Kukshal P et al.  ·  Indian J Pediatr  ·  02.10.2026  ·  PMID 42825890</w:t>
      </w:r>
    </w:p>
    <w:p>
      <w:r>
        <w:t>Fall-Kontroll-Studie mit 1.556 Teilnehmern (1.115 Fälle, 441 Kontrollen) zur Assoziation perikonzeptioneller Luftschadstoffexposition (PM2,5, PM10, NO2, AQI) mit angeborenen Herzfehlern in Delhi-NCR.</w:t>
      </w:r>
    </w:p>
    <w:p>
      <w:r>
        <w:rPr>
          <w:b/>
        </w:rPr>
        <w:t xml:space="preserve">Ergebnis: </w:t>
      </w:r>
      <w:r>
        <w:t>Perikonzeptionelle Exposition gegenüber schlechtem AQI und PM10 signifikant assoziiert mit erhöhtem Risiko angeborener Herzfehler. Post-Konzeptionsperiode zeigte stärkste Assoziationen: schlechter AQI für alle Herzfehler (AOR=2,74, 95%-KI: 1,78–4,22), PM10 für alle Herzfehler (AOR=3,36, 95%-KI: 2,05–5,52); Ventrikelseptumdefekt konsistent mit PM10 assoziiert (prä-konzeptionell AOR=3,13, post-konzeptionell AOR=4,35).</w:t>
      </w:r>
    </w:p>
    <w:p>
      <w:r>
        <w:rPr>
          <w:b/>
          <w:sz w:val="19"/>
        </w:rPr>
        <w:t xml:space="preserve">Übertragbarkeit: </w:t>
      </w:r>
      <w:r>
        <w:rPr>
          <w:sz w:val="19"/>
        </w:rPr>
        <w:t>Südasien, Temperaturschwellen nicht übertragbar; Expositionsfenster-Methodik und Präventionsprinzipien anwendbar</w:t>
      </w:r>
    </w:p>
    <w:p>
      <w:r>
        <w:rPr>
          <w:color w:val="5A7D3A"/>
          <w:sz w:val="18"/>
        </w:rPr>
        <w:t>https://pubmed.ncbi.nlm.nih.gov/42825890/</w:t>
      </w:r>
    </w:p>
    <w:p>
      <w:pPr>
        <w:pStyle w:val="Heading2"/>
      </w:pPr>
      <w:r>
        <w:t>Todesfälle durch Hitze und Hitzschlag bei Kindern und Erwachsenen</w:t>
      </w:r>
    </w:p>
    <w:p>
      <w:r>
        <w:rPr>
          <w:i/>
          <w:color w:val="666666"/>
          <w:sz w:val="18"/>
        </w:rPr>
        <w:t>Can A et al.  ·  Leg Med (Tokyo)  ·  29.09.2026  ·  PMID 42815323</w:t>
      </w:r>
    </w:p>
    <w:p>
      <w:r>
        <w:t>Retrospektive Obduktionsanalyse von 22 Hitzschlag-Todesfällen (2015–2024) in der Türkei zur Charakterisierung demografischer, umgebungsbezogener und pathologischer Muster bei Kindern und Erwachsenen.</w:t>
      </w:r>
    </w:p>
    <w:p>
      <w:r>
        <w:rPr>
          <w:b/>
        </w:rPr>
        <w:t xml:space="preserve">Ergebnis: </w:t>
      </w:r>
      <w:r>
        <w:t>12 Kinder, 10 Erwachsene; 68,2% männlich. 91,7% der Kindertodesfälle in geparkten Fahrzeugen; Erwachsenentodesfälle überwiegend im Freien und berufliche Exposition. Maximale Umgebungstemperatur ≥35 °C an 72,7% der Tage (Median 37,0 °C). 86,4% ohne vorherigen Arztkontakt. Keine spezifische Obduktionsfindung; Diagnose beruhte auf Szene-/Meteorologiedaten plus Ausschlussdiagnose.</w:t>
      </w:r>
    </w:p>
    <w:p>
      <w:r>
        <w:rPr>
          <w:b/>
          <w:sz w:val="19"/>
        </w:rPr>
        <w:t xml:space="preserve">Übertragbarkeit: </w:t>
      </w:r>
      <w:r>
        <w:rPr>
          <w:sz w:val="19"/>
        </w:rPr>
        <w:t>Südtürkei, klimawärmer als Deutschland; Präventionsansätze nach Alter/Expositionskontext übertragbar</w:t>
      </w:r>
    </w:p>
    <w:p>
      <w:r>
        <w:rPr>
          <w:color w:val="5A7D3A"/>
          <w:sz w:val="18"/>
        </w:rPr>
        <w:t>https://pubmed.ncbi.nlm.nih.gov/42815323/</w:t>
      </w:r>
    </w:p>
    <w:p>
      <w:pPr>
        <w:pStyle w:val="Heading2"/>
      </w:pPr>
      <w:r>
        <w:t>Grünflächenausstattung und mentale Gesundheit in französischer Stadt</w:t>
      </w:r>
    </w:p>
    <w:p>
      <w:r>
        <w:rPr>
          <w:i/>
          <w:color w:val="666666"/>
          <w:sz w:val="18"/>
        </w:rPr>
        <w:t>Sicard P et al.  ·  J Environ Manage  ·  01.10.2026  ·  PMID 42784923</w:t>
      </w:r>
    </w:p>
    <w:p>
      <w:r>
        <w:t>Querschnittsstudie mit 1.195 Erwachsenen in Aix-en-Provence zur Assoziation von Grünflächenverfügbarkeit (3-30-300 Regel) mit selbstberichteter psychischer Gesundheit und Verhaltensoutcomes.</w:t>
      </w:r>
    </w:p>
    <w:p>
      <w:r>
        <w:rPr>
          <w:b/>
        </w:rPr>
        <w:t xml:space="preserve">Ergebnis: </w:t>
      </w:r>
      <w:r>
        <w:t>Höhere Baumbestände im Distrikt assoziiert mit besserer Schlafqualität (β=0,0059, 95%-KI: 0,0017–0,0101), weniger Traurheit (β=−0,0066, 95%-KI: −0,0125–−0,0006) und Angstsymptomen (β=−0,0073, 95%-KI: −0,0159–0,0014); Gebäude mit mindestens zwei Komponenten der 3-30-300 Regel assoziiert mit besserer mentaler Gesundheit (β=0,0054) und niedrigerem Stress (β=−0,0081, p&lt;0,05).</w:t>
      </w:r>
    </w:p>
    <w:p>
      <w:r>
        <w:rPr>
          <w:b/>
          <w:sz w:val="19"/>
        </w:rPr>
        <w:t xml:space="preserve">Übertragbarkeit: </w:t>
      </w:r>
      <w:r>
        <w:rPr>
          <w:sz w:val="19"/>
        </w:rPr>
        <w:t>Südeuropa, urbane Planungsprinzipien auf mediterrane Mittelstadt übertragbar</w:t>
      </w:r>
    </w:p>
    <w:p>
      <w:r>
        <w:rPr>
          <w:color w:val="5A7D3A"/>
          <w:sz w:val="18"/>
        </w:rPr>
        <w:t>https://pubmed.ncbi.nlm.nih.gov/42784923/</w:t>
      </w:r>
    </w:p>
    <w:p>
      <w:pPr>
        <w:pStyle w:val="Heading1"/>
      </w:pPr>
      <w:r>
        <w:t>Aufgenommen am 13.10.2026</w:t>
      </w:r>
    </w:p>
    <w:p>
      <w:pPr>
        <w:pStyle w:val="Heading2"/>
      </w:pPr>
      <w:r>
        <w:t>Fleischalternativen: Verbraucher akzeptieren Fleisch-Nomenklatur, aber wünschen transparentere Kennzeichnung</w:t>
      </w:r>
    </w:p>
    <w:p>
      <w:r>
        <w:rPr>
          <w:i/>
          <w:color w:val="666666"/>
          <w:sz w:val="18"/>
        </w:rPr>
        <w:t>Ketelings L et al.  ·  Front Public Health  ·  22.09.2026  ·  PMID 42840042</w:t>
      </w:r>
    </w:p>
    <w:p>
      <w:r>
        <w:t>Fokusgruppenstudie mit niederländischen Verbrauchern unterschiedlicher Fleischkonsumgewohnheiten zu Wahrnehmung und Erwartungen bei Kennzeichnung von Fleischalternativen im Kontext Nachhaltigkeit und Klimaschutz.</w:t>
      </w:r>
    </w:p>
    <w:p>
      <w:r>
        <w:rPr>
          <w:b/>
        </w:rPr>
        <w:t xml:space="preserve">Ergebnis: </w:t>
      </w:r>
      <w:r>
        <w:t>Kernfunde: Produktbezeichnung, Positionierung und Glaubwürdigkeitsattribute prägen Kundenerwartungen. Verbraucher berichten keine unbeabsichtigten Käufe, äußern aber Bedenken vor Irreführung; fleischähnliche Nomenklatur hilft bei Vertrautheit und Produktverständnis. Forderung nach standardisierten, transparenten Kennzeichnungspraktiken zur Verbraucherschutz und Unterstützung nachhaltiger Adoption.</w:t>
      </w:r>
    </w:p>
    <w:p>
      <w:r>
        <w:rPr>
          <w:b/>
          <w:sz w:val="19"/>
        </w:rPr>
        <w:t xml:space="preserve">Übertragbarkeit: </w:t>
      </w:r>
      <w:r>
        <w:rPr>
          <w:sz w:val="19"/>
        </w:rPr>
        <w:t>Niederlande; direkt auf deutschsprachigen Raum übertragbar, vergleichbare Verbrauchererwartungen</w:t>
      </w:r>
    </w:p>
    <w:p>
      <w:r>
        <w:rPr>
          <w:color w:val="5A7D3A"/>
          <w:sz w:val="18"/>
        </w:rPr>
        <w:t>https://pubmed.ncbi.nlm.nih.gov/42840042/</w:t>
      </w:r>
    </w:p>
    <w:p>
      <w:pPr>
        <w:pStyle w:val="Heading2"/>
      </w:pPr>
      <w:r>
        <w:t>Klimawandel und Fasciola-Übertragung: Risiken in Nordeuropa steigen, in Westafrika sinken</w:t>
      </w:r>
    </w:p>
    <w:p>
      <w:r>
        <w:rPr>
          <w:i/>
          <w:color w:val="666666"/>
          <w:sz w:val="18"/>
        </w:rPr>
        <w:t>van der Deure T et al.  ·  PLoS Negl Trop Dis  ·  05.10.2026  ·  PMID 42832590</w:t>
      </w:r>
    </w:p>
    <w:p>
      <w:r>
        <w:t>Entwicklung eines Risikoindex zur Prognose von Leberegelinfektionen (F. hepatica und F. gigantica) unter Klimawandel in Afrika und Europa basierend auf Temperaturabhängigkeit der Parasitenentwicklung, Schneckenverbreitung und Gewässerverfügbarkeit.</w:t>
      </w:r>
    </w:p>
    <w:p>
      <w:r>
        <w:rPr>
          <w:b/>
        </w:rPr>
        <w:t xml:space="preserve">Ergebnis: </w:t>
      </w:r>
      <w:r>
        <w:t>F. gigantica-Risiko sinkt in Sahel und Westafrika; F. hepatica-Risiko nimmt in Nordeuropa, Skandinavien und Island zu, wo Viehdichten hoch sind. Hybridisierungsrisiko beider Arten geht zurück aufgrund reduzierter geografischer Überlappung.</w:t>
      </w:r>
    </w:p>
    <w:p>
      <w:r>
        <w:rPr>
          <w:b/>
          <w:sz w:val="19"/>
        </w:rPr>
        <w:t xml:space="preserve">Übertragbarkeit: </w:t>
      </w:r>
      <w:r>
        <w:rPr>
          <w:sz w:val="19"/>
        </w:rPr>
        <w:t>Nordeuropa betroffen; Methodik und Risikoabschätzung übertragbar auf gemäßigte Zonen</w:t>
      </w:r>
    </w:p>
    <w:p>
      <w:r>
        <w:rPr>
          <w:color w:val="5A7D3A"/>
          <w:sz w:val="18"/>
        </w:rPr>
        <w:t>https://pubmed.ncbi.nlm.nih.gov/42832590/</w:t>
      </w:r>
    </w:p>
    <w:p>
      <w:pPr>
        <w:pStyle w:val="Heading2"/>
      </w:pPr>
      <w:r>
        <w:t>Klimawandel verschärft Flugverkehr-Vereisungsrisiken: Eismeldungen in China um 500 m/Jahr angestiegen</w:t>
      </w:r>
    </w:p>
    <w:p>
      <w:r>
        <w:rPr>
          <w:i/>
          <w:color w:val="666666"/>
          <w:sz w:val="18"/>
        </w:rPr>
        <w:t>Zhang W et al.  ·  J Environ Sci (China)  ·  01.02.2026  ·  PMID 42822913</w:t>
      </w:r>
    </w:p>
    <w:p>
      <w:r>
        <w:t>Analyse von 13 Jahren (2011–2023) Piloten-Vereisungsmeldungen (PIREPs) in China zur Erfassung von Häufigkeit, räumlichen Mustern, Vertikalverteilung und zeitlichen Trends sowie deren Zusammenhang mit Klimawandel, Topografie, Wirtschaftsaktivität und Aerosol-Emissionen.</w:t>
      </w:r>
    </w:p>
    <w:p>
      <w:r>
        <w:rPr>
          <w:b/>
        </w:rPr>
        <w:t xml:space="preserve">Ergebnis: </w:t>
      </w:r>
      <w:r>
        <w:t>Deutlicher räumlicher Gradient (Südwesten höchste Häufigkeit); Vertikalstratifikation mit Spitzenwert 2–8 km Höhe; winterliche Dominanz (7,3-fach höher als Sommer); auffällige Aufwärtsverschiebung der primären Vereisungsschicht um ~500 m/Jahr ab 2018, korrelierend mit steigenden Gefriergrenzenhöhen unter globaler Erwärmung.</w:t>
      </w:r>
    </w:p>
    <w:p>
      <w:r>
        <w:rPr>
          <w:b/>
          <w:sz w:val="19"/>
        </w:rPr>
        <w:t xml:space="preserve">Übertragbarkeit: </w:t>
      </w:r>
      <w:r>
        <w:rPr>
          <w:sz w:val="19"/>
        </w:rPr>
        <w:t>China; Methodik auf gemäßigte Zonen übertragbar, regionale Temperaturtrends sind klimaabhängig</w:t>
      </w:r>
    </w:p>
    <w:p>
      <w:r>
        <w:rPr>
          <w:color w:val="5A7D3A"/>
          <w:sz w:val="18"/>
        </w:rPr>
        <w:t>https://pubmed.ncbi.nlm.nih.gov/42822913/</w:t>
      </w:r>
    </w:p>
    <w:p>
      <w:pPr>
        <w:pStyle w:val="Heading2"/>
      </w:pPr>
      <w:r>
        <w:t>Umweltbelastung und Gehirn: Tägliche Schwankungen in Luftqualität und Lärm beeinflussen Hirnstruktur</w:t>
      </w:r>
    </w:p>
    <w:p>
      <w:r>
        <w:rPr>
          <w:i/>
          <w:color w:val="666666"/>
          <w:sz w:val="18"/>
        </w:rPr>
        <w:t>Falkenstein K et al.  ·  BMC Neurosci  ·  23.09.2026  ·  PMID 42778897</w:t>
      </w:r>
    </w:p>
    <w:p>
      <w:r>
        <w:t>Studienprotokoll für Langzeitstudie mit 30 Teilnehmern über 25 Messsitzungen zur Erfassung tagesdurchschnittlicher Umweltvariationen (Luftqualität, Lärm, Lichteexposition, physische Aktivität) und deren Auswirkungen auf Hirnstruktur, -funktion und Wohlbefinden mittels Neuroimaging und tragbarer Sensoren.</w:t>
      </w:r>
    </w:p>
    <w:p>
      <w:r>
        <w:rPr>
          <w:b/>
        </w:rPr>
        <w:t xml:space="preserve">Ergebnis: </w:t>
      </w:r>
      <w:r>
        <w:t>Studiendesign zur Erfassung von Zusammenhängen zwischen alltäglicher Umweltexposition und kurzfristiger Neuroplastizität etabliert; Dataset umfasst multimodale Neuroimaging-Messungen (T1/T2*-gewichtet, Diffusions-Tensor-Imaging) sowie kontinuierliche Umwelt- und physiologische Tracking-Daten.</w:t>
      </w:r>
    </w:p>
    <w:p>
      <w:r>
        <w:rPr>
          <w:b/>
          <w:sz w:val="19"/>
        </w:rPr>
        <w:t xml:space="preserve">Übertragbarkeit: </w:t>
      </w:r>
      <w:r>
        <w:rPr>
          <w:sz w:val="19"/>
        </w:rPr>
        <w:t>Deutschland (Berlin/Hamburg); direkt übertragbar auf gemäßigte Klimazone und urbane Gesundheitsfragen</w:t>
      </w:r>
    </w:p>
    <w:p>
      <w:r>
        <w:rPr>
          <w:color w:val="5A7D3A"/>
          <w:sz w:val="18"/>
        </w:rPr>
        <w:t>https://pubmed.ncbi.nlm.nih.gov/42778897/</w:t>
      </w:r>
    </w:p>
    <w:p>
      <w:pPr>
        <w:pStyle w:val="Heading2"/>
      </w:pPr>
      <w:r>
        <w:t>KI-Modelle und Klimawandel-Debatten: Systematische Verzerrungen in LLM-Meinungsdynamiken messbar</w:t>
      </w:r>
    </w:p>
    <w:p>
      <w:r>
        <w:rPr>
          <w:i/>
          <w:color w:val="666666"/>
          <w:sz w:val="18"/>
        </w:rPr>
        <w:t>Brockers VC et al.  ·  Nat Commun  ·  22.09.2026  ·  PMID 42773123</w:t>
      </w:r>
    </w:p>
    <w:p>
      <w:r>
        <w:t>Entwicklung eines Bayes-Frameworks zur Messung von Verzerrungen in Meinungsdynamiken von Large Language Models (LLMs) in Multi-Schritt-Dialogen zu 12 Fragen, darunter Klimawandel, mit Quantifizierung von Topic-Bias, Agreement-Bias und Anchoring-Bias.</w:t>
      </w:r>
    </w:p>
    <w:p>
      <w:r>
        <w:rPr>
          <w:b/>
        </w:rPr>
        <w:t xml:space="preserve">Ergebnis: </w:t>
      </w:r>
      <w:r>
        <w:t>Meinungstrajektorien konvergieren schnell zu gemeinsamen Attraktoren; Einfluss von Interaktion und Verzerrungen nimmt zeitlich ab; Verzerrungseffekte unterscheiden sich zwischen LLM-Typen. Fine-Tuning auf stark opinionierte Statements verschiebt Meinungs-Attraktoren entsprechend. Framework offenbart erhebliche Unterschiede zwischen LLMs und quantifiziert Beitrag von Verzerrungen vs. echter Interaktion.</w:t>
      </w:r>
    </w:p>
    <w:p>
      <w:r>
        <w:rPr>
          <w:b/>
          <w:sz w:val="19"/>
        </w:rPr>
        <w:t xml:space="preserve">Übertragbarkeit: </w:t>
      </w:r>
      <w:r>
        <w:rPr>
          <w:sz w:val="19"/>
        </w:rPr>
        <w:t>Deutschland; Methodik zur Messung ideologischer Verzerrungen in KI-generierten Klimadebatten anwendbar</w:t>
      </w:r>
    </w:p>
    <w:p>
      <w:r>
        <w:rPr>
          <w:color w:val="5A7D3A"/>
          <w:sz w:val="18"/>
        </w:rPr>
        <w:t>https://pubmed.ncbi.nlm.nih.gov/42773123/</w:t>
      </w:r>
    </w:p>
    <w:p>
      <w:pPr>
        <w:pStyle w:val="Heading2"/>
      </w:pPr>
      <w:r>
        <w:t>Feinstaubbelastung und Toxizität in Grillrestaurants: Innenraum-PM₁₀ doppelt so hoch wie außen</w:t>
      </w:r>
    </w:p>
    <w:p>
      <w:r>
        <w:rPr>
          <w:i/>
          <w:color w:val="666666"/>
          <w:sz w:val="18"/>
        </w:rPr>
        <w:t>Figueiredo D et al.  ·  Environ Toxicol Pharmacol  ·  22.09.2026  ·  PMID 42772535</w:t>
      </w:r>
    </w:p>
    <w:p>
      <w:r>
        <w:t>Untersuchung der chemischen Zusammensetzung und Toxizität von PM₁₀ in einem portugiesischen Grillrestaurant mit Messungen innen und außen sowie Zellviabilitätstests an Lungenzellen.</w:t>
      </w:r>
    </w:p>
    <w:p>
      <w:r>
        <w:rPr>
          <w:b/>
        </w:rPr>
        <w:t xml:space="preserve">Ergebnis: </w:t>
      </w:r>
      <w:r>
        <w:t>Indoor-PM₁₀-Konzentrationen deutlich höher als outdoor; Kohlehydrate machten bis zu 50% der PM₁₀-Masse aus. Indoorproben zeigten höhere oxidative Spannung (OPDTT), reduzierte Zellviabilität und erhöhte intrazelluläre ROS im Vergleich zu Outdoor-Proben.</w:t>
      </w:r>
    </w:p>
    <w:p>
      <w:r>
        <w:rPr>
          <w:b/>
          <w:sz w:val="19"/>
        </w:rPr>
        <w:t xml:space="preserve">Übertragbarkeit: </w:t>
      </w:r>
      <w:r>
        <w:rPr>
          <w:sz w:val="19"/>
        </w:rPr>
        <w:t>Portugal; Innenraumexposition in mitteleuropäischen Arbeitsumgebungen vergleichbar</w:t>
      </w:r>
    </w:p>
    <w:p>
      <w:r>
        <w:rPr>
          <w:color w:val="5A7D3A"/>
          <w:sz w:val="18"/>
        </w:rPr>
        <w:t>https://pubmed.ncbi.nlm.nih.gov/42772535/</w:t>
      </w:r>
    </w:p>
    <w:p>
      <w:pPr>
        <w:pStyle w:val="Heading1"/>
      </w:pPr>
      <w:r>
        <w:t>Aufgenommen am 12.10.2026</w:t>
      </w:r>
    </w:p>
    <w:p>
      <w:pPr>
        <w:pStyle w:val="Heading2"/>
      </w:pPr>
      <w:r>
        <w:t>Stickoxide und Naturzeit: Effekte auf Entzündungsmarker bei Übergewicht</w:t>
      </w:r>
    </w:p>
    <w:p>
      <w:r>
        <w:rPr>
          <w:i/>
          <w:color w:val="666666"/>
          <w:sz w:val="18"/>
        </w:rPr>
        <w:t>Dzhambov AM et al.  ·  Arh Hig Rada Toksikol  ·  01.09.2026  ·  PMID 42859413</w:t>
      </w:r>
    </w:p>
    <w:p>
      <w:r>
        <w:t>Eine Querschnittsstudie (2023-2024) in Bulgarien untersuchte bei 90 übergewichtigen Erwachsenen mit metabolischem Syndrom Assoziationen zwischen Wohnumgebungs-Expositionen (Luftverschmutzung, Lärm, Grünflächen) und proinflammatorischen Markern sowie adipositäsbezogenen Parametern.</w:t>
      </w:r>
    </w:p>
    <w:p>
      <w:r>
        <w:rPr>
          <w:b/>
        </w:rPr>
        <w:t xml:space="preserve">Ergebnis: </w:t>
      </w:r>
      <w:r>
        <w:t>Jede 10 μg/m³ Zunahme von NO₂ war assoziiert mit höherer TNF-α-Konzentration (+36,27 %; 95 % KI: −5,66 %, 96,83 %), IL-6 (+41,63 %; 95 % KI: 8,16 %, 85,46 %), CRP (+37,80 %; 95 % KI: 5,89 %, 79,32 %) und Leptin (+25,61 %; 95 % KI: −8,73 %, 72,88 %). Pro 2 Stunden pro Woche Zeit in der Natur sank TNF-α (−20,49 %; 95 % KI: −37,56 %, 1,23 %) und Adiponectin stieg (+10,30 %; 95 % KI: 1,36 %, 20,03 %).</w:t>
      </w:r>
    </w:p>
    <w:p>
      <w:r>
        <w:rPr>
          <w:b/>
          <w:sz w:val="19"/>
        </w:rPr>
        <w:t xml:space="preserve">Übertragbarkeit: </w:t>
      </w:r>
      <w:r>
        <w:rPr>
          <w:sz w:val="19"/>
        </w:rPr>
        <w:t>Südeuropa mit vergleichbarer Infrastruktur; Assoziationen und Prinzipien auf mitteleuropäische Bevölkerung übertragbar.</w:t>
      </w:r>
    </w:p>
    <w:p>
      <w:r>
        <w:rPr>
          <w:color w:val="5A7D3A"/>
          <w:sz w:val="18"/>
        </w:rPr>
        <w:t>https://pubmed.ncbi.nlm.nih.gov/42859413/</w:t>
      </w:r>
    </w:p>
    <w:p>
      <w:pPr>
        <w:pStyle w:val="Heading2"/>
      </w:pPr>
      <w:r>
        <w:t>Berufliche Hitzeexposition und DNA-Schäden bei Aluminiumhütten-Arbeitern</w:t>
      </w:r>
    </w:p>
    <w:p>
      <w:r>
        <w:rPr>
          <w:i/>
          <w:color w:val="666666"/>
          <w:sz w:val="18"/>
        </w:rPr>
        <w:t>Khalifa EM et al.  ·  Int Arch Occup Environ Health  ·  10.10.2026  ·  PMID 42859242</w:t>
      </w:r>
    </w:p>
    <w:p>
      <w:r>
        <w:t>Eine Querschnittsstudie untersuchte bei 93 Arbeitern (47 hitzeexponiert, 46 Kontrolle) in einer ägyptischen Aluminiumproduktionfabrik die Zusammenhänge zwischen Hitzeexposition und oxidativen Stress-Biomarkern sowie DNA-Reparaturgenen.</w:t>
      </w:r>
    </w:p>
    <w:p>
      <w:r>
        <w:rPr>
          <w:b/>
        </w:rPr>
        <w:t xml:space="preserve">Ergebnis: </w:t>
      </w:r>
      <w:r>
        <w:t>Hitzeexponierte Arbeiter zeigten signifikant erhöhte Konzentrationen von Malondialdehyd und 8-OHdG (beide p &lt; 0,001), während Superoxiddismutase, Glutathionperoxidase und Gesamtantioxidantienkapazität sanken (p &lt; 0,001). Die Hitzeexposition war mit erhöhtem oxidativem Stress, DNA-Schäden und verminderter Expression von DNA-Reparatur- und Redox-Regulationsgenen verbunden, was auf compromittierte zelluläre Abwehrmechanismen hindeutet.</w:t>
      </w:r>
    </w:p>
    <w:p>
      <w:r>
        <w:rPr>
          <w:b/>
          <w:sz w:val="19"/>
        </w:rPr>
        <w:t xml:space="preserve">Übertragbarkeit: </w:t>
      </w:r>
      <w:r>
        <w:rPr>
          <w:sz w:val="19"/>
        </w:rPr>
        <w:t>Mechanismus ist klimazonenunabhängig; Feldmonitoring mit WBGT übertragbar auch für deutsche Arbeitsplätze.</w:t>
      </w:r>
    </w:p>
    <w:p>
      <w:r>
        <w:rPr>
          <w:color w:val="5A7D3A"/>
          <w:sz w:val="18"/>
        </w:rPr>
        <w:t>https://pubmed.ncbi.nlm.nih.gov/42859242/</w:t>
      </w:r>
    </w:p>
    <w:p>
      <w:pPr>
        <w:pStyle w:val="Heading2"/>
      </w:pPr>
      <w:r>
        <w:t>Radon in Krankenhäusern: Monitoring und Risiko-Stratifizierung</w:t>
      </w:r>
    </w:p>
    <w:p>
      <w:r>
        <w:rPr>
          <w:i/>
          <w:color w:val="666666"/>
          <w:sz w:val="18"/>
        </w:rPr>
        <w:t>Ţenter A et al.  ·  Front Public Health  ·  25.09.2026  ·  PMID 42856963</w:t>
      </w:r>
    </w:p>
    <w:p>
      <w:r>
        <w:t>Eine Großstudie installierte 1700 CR-39-Detektoren in 115 medizinischen Einrichtungen in 40 rumänischen Lokalitäten für dreimonatige Messungen; ausgewertet wurden 1651 valide Messungen zur Schätzung der jährlichen Radon-Aktivitätskonzentration.</w:t>
      </w:r>
    </w:p>
    <w:p>
      <w:r>
        <w:rPr>
          <w:b/>
        </w:rPr>
        <w:t xml:space="preserve">Ergebnis: </w:t>
      </w:r>
      <w:r>
        <w:t>Mittlere Radon-Jahreskonzentration 61 Bq/m³ (Median 40 Bq/m³, geometrisches Mittel 41 Bq/m³). Nur 26 von 1651 Messungen (1,6 %) überschritten den Referenzwert von 300 Bq/m³, alle konzentriert in unteren Stockwerken (25 in Kellern/Erdgeschoss). Höhere Konzentrationen in Radiologie und Zahnkliniken, niedrigere in Krankenhäusern. Gebäude-spezifische Charakteristiken und Stockwerk zeigten signifikante Effekte im Mixed-Effects-Modell.</w:t>
      </w:r>
    </w:p>
    <w:p>
      <w:r>
        <w:rPr>
          <w:b/>
          <w:sz w:val="19"/>
        </w:rPr>
        <w:t xml:space="preserve">Übertragbarkeit: </w:t>
      </w:r>
      <w:r>
        <w:rPr>
          <w:sz w:val="19"/>
        </w:rPr>
        <w:t>Rumänien, Europa; Monitoring-Strategie für Kliniken übertragbar auf deutschsprachige Sanitätseinrichtungen.</w:t>
      </w:r>
    </w:p>
    <w:p>
      <w:r>
        <w:rPr>
          <w:color w:val="5A7D3A"/>
          <w:sz w:val="18"/>
        </w:rPr>
        <w:t>https://pubmed.ncbi.nlm.nih.gov/42856963/</w:t>
      </w:r>
    </w:p>
    <w:p>
      <w:pPr>
        <w:pStyle w:val="Heading2"/>
      </w:pPr>
      <w:r>
        <w:t>Klimawandel und Gesundheit in Ländern mit niedrigem Versorgungsniveau</w:t>
      </w:r>
    </w:p>
    <w:p>
      <w:r>
        <w:rPr>
          <w:i/>
          <w:color w:val="666666"/>
          <w:sz w:val="18"/>
        </w:rPr>
        <w:t>Barcellos C et al.  ·  Cien Saude Colet  ·  05.10.2026  ·  PMID 42848628</w:t>
      </w:r>
    </w:p>
    <w:p>
      <w:r>
        <w:t>Ein Expertenpapier analysiert die klimabedingte Belastung für Gesundheitssysteme in peripheren Ländern und vulnerablen Bevölkerungen, besonders im Kontext von Hitzeströmen, Umweltdegradation und mangelhaften Gesundheitsdiensten.</w:t>
      </w:r>
    </w:p>
    <w:p>
      <w:r>
        <w:rPr>
          <w:b/>
        </w:rPr>
        <w:t xml:space="preserve">Ergebnis: </w:t>
      </w:r>
      <w:r>
        <w:t>Zentrale Kernaussage: Klimawandel verursacht geographisch unterschiedliche Gesundheitsfolgen. Periphere Länder und vulnerable Territorien in ihnen erleben Bedingungen aggravierende niedrige Versorgungsqualität und -dichte; dies verstärkt Krankheitsübertragung und nicht-übertragbare Erkrankungen, führt zu Klimaungerechtigkeit. Public Health in peripheren Ländern muss an sozialen und umweltbezogenen Determinanten ansetzen, mit kritischer Haltung zu Adaptationsvorschlägen, die Ungleichheiten reduzieren müssen.</w:t>
      </w:r>
    </w:p>
    <w:p>
      <w:r>
        <w:rPr>
          <w:b/>
          <w:sz w:val="19"/>
        </w:rPr>
        <w:t xml:space="preserve">Übertragbarkeit: </w:t>
      </w:r>
      <w:r>
        <w:rPr>
          <w:sz w:val="19"/>
        </w:rPr>
        <w:t>Lateinamerika, begrenzte Ressourcen; Prinzipien von Klima-Gerechtigkeit und Prioritätenreihung auch für Übergangsphasen in Deutschland relevant.</w:t>
      </w:r>
    </w:p>
    <w:p>
      <w:r>
        <w:rPr>
          <w:color w:val="5A7D3A"/>
          <w:sz w:val="18"/>
        </w:rPr>
        <w:t>https://pubmed.ncbi.nlm.nih.gov/42848628/</w:t>
      </w:r>
    </w:p>
    <w:p>
      <w:pPr>
        <w:pStyle w:val="Heading2"/>
      </w:pPr>
      <w:r>
        <w:t>Klassenzimmer-Luftqualität und Atemwegserkrankungen bei Schülern in Nigeria</w:t>
      </w:r>
    </w:p>
    <w:p>
      <w:r>
        <w:rPr>
          <w:i/>
          <w:color w:val="666666"/>
          <w:sz w:val="18"/>
        </w:rPr>
        <w:t>Eghomwanre AF et al.  ·  Environ Sci Pollut Res Int  ·  28.09.2026  ·  PMID 42804077</w:t>
      </w:r>
    </w:p>
    <w:p>
      <w:r>
        <w:t>Eine Querschnittsstudie in sechs Schulen Nigerias (10 Wochen) maß Luftqualitätsparameter (PM₂,₅, PM₁₀, CO, CO₂) und thermische Behaglichkeit und erfasste respiratorische Symptome mittels Fragebogen und multivariate Regressionsanalyse.</w:t>
      </w:r>
    </w:p>
    <w:p>
      <w:r>
        <w:rPr>
          <w:b/>
        </w:rPr>
        <w:t xml:space="preserve">Ergebnis: </w:t>
      </w:r>
      <w:r>
        <w:t>PM₂,₅ schwankte von 11,2–81,4 μg/m³, PM₁₀ von 20,1–138,6 μg/m³. Alle Hazard-Quotient-Werte (HQ) für PM₂,₅ und PM₁₀ lagen unter 1, deuteten also auf kein chronisches Risiko hin. Jedoch zeigte sich hohe Prävalenz akuter Symptome: Husten (58,2 %), Auswurf (32,5 %), Brustschmerz (26,7 %). Erhöhte PM-Exposition war stark mit Husten assoziiert (p &lt; 0,001) und erhöhte die Chancen für Brustschmerz (bereinigtes OR = 2,74; 95 % KI: 1,35–22,80; p = 0,018).</w:t>
      </w:r>
    </w:p>
    <w:p>
      <w:r>
        <w:rPr>
          <w:b/>
          <w:sz w:val="19"/>
        </w:rPr>
        <w:t xml:space="preserve">Übertragbarkeit: </w:t>
      </w:r>
      <w:r>
        <w:rPr>
          <w:sz w:val="19"/>
        </w:rPr>
        <w:t>Tropische Zone mit anderen Anpassungsniveaus; Methodik und Symptom-Mechanismus prinzipiell übertragbar.</w:t>
      </w:r>
    </w:p>
    <w:p>
      <w:r>
        <w:rPr>
          <w:color w:val="5A7D3A"/>
          <w:sz w:val="18"/>
        </w:rPr>
        <w:t>https://pubmed.ncbi.nlm.nih.gov/42804077/</w:t>
      </w:r>
    </w:p>
    <w:p>
      <w:pPr>
        <w:pStyle w:val="Heading2"/>
      </w:pPr>
      <w:r>
        <w:t>PAH-Belastung in Schulen und Wohnungen europäischer Großstädte</w:t>
      </w:r>
    </w:p>
    <w:p>
      <w:r>
        <w:rPr>
          <w:i/>
          <w:color w:val="666666"/>
          <w:sz w:val="18"/>
        </w:rPr>
        <w:t>Aretaki MA et al.  ·  Environ Res  ·  01.11.2026  ·  PMID 42705444</w:t>
      </w:r>
    </w:p>
    <w:p>
      <w:r>
        <w:t>Eine europäische Multizenterstudie bestimmte PAH-Konzentrationen in der Innenraumluft von Schulen, Wohnungen und Sporthallen in sechs Städten (Athen, Barcelona, Colchester, Kopenhagen, Helsinki, Lissabon) und schätzte das Krebsrisiko für Kinder.</w:t>
      </w:r>
    </w:p>
    <w:p>
      <w:r>
        <w:rPr>
          <w:b/>
        </w:rPr>
        <w:t xml:space="preserve">Ergebnis: </w:t>
      </w:r>
      <w:r>
        <w:t>Höchste Median-PAH-Konzentrationen (&gt;50.000 pg/m³) in Schulen und Wohnungen waren mit intensiver lokaler Holzverbrennung verknüpft. Das geschätzte Überschusskrebs-Risiko für eine fünfjährige Primärschul-Expositionsperiode (ECR5) lag über alle Standorte zwischen 10⁻⁸ und 10⁻⁵ und blieb unter dem Schwellwert von 10⁻⁴. Hochmolekulare PAHs waren in Schulen höher als in Wohnungen, niedermolekulare dagegen in Wohnungen dominanter.</w:t>
      </w:r>
    </w:p>
    <w:p>
      <w:r>
        <w:rPr>
          <w:b/>
          <w:sz w:val="19"/>
        </w:rPr>
        <w:t xml:space="preserve">Übertragbarkeit: </w:t>
      </w:r>
      <w:r>
        <w:rPr>
          <w:sz w:val="19"/>
        </w:rPr>
        <w:t>Europäische Daten, gemäßigte Klimazone, mehrere Länder mit unterschiedlicher Heizpraxis.</w:t>
      </w:r>
    </w:p>
    <w:p>
      <w:r>
        <w:rPr>
          <w:color w:val="5A7D3A"/>
          <w:sz w:val="18"/>
        </w:rPr>
        <w:t>https://pubmed.ncbi.nlm.nih.gov/42705444/</w:t>
      </w:r>
    </w:p>
    <w:p>
      <w:pPr>
        <w:pStyle w:val="Heading1"/>
      </w:pPr>
      <w:r>
        <w:t>Aufgenommen am 11.10.2026</w:t>
      </w:r>
    </w:p>
    <w:p>
      <w:pPr>
        <w:pStyle w:val="Heading2"/>
      </w:pPr>
      <w:r>
        <w:t>Flaschenfütterung und Schnuller erhöhen Atemwegsinfekt-Risiko bei Säuglingen</w:t>
      </w:r>
    </w:p>
    <w:p>
      <w:r>
        <w:rPr>
          <w:i/>
          <w:color w:val="666666"/>
          <w:sz w:val="18"/>
        </w:rPr>
        <w:t>Veerajitt P et al.  ·  J Trop Pediatr  ·  09.10.2026  ·  PMID 42854097</w:t>
      </w:r>
    </w:p>
    <w:p>
      <w:r>
        <w:t>Prospektive Kohortenstudie in Südthailand zu modifizierbaren Verhaltensfaktoren für akute Atemwegsinfekte bei Säuglingen in den ersten 12 Lebensmonaten.</w:t>
      </w:r>
    </w:p>
    <w:p>
      <w:r>
        <w:rPr>
          <w:b/>
        </w:rPr>
        <w:t xml:space="preserve">Ergebnis: </w:t>
      </w:r>
      <w:r>
        <w:t>Von 671 Säuglingen erlebten 40,3% (271) mindestens einen Atemwegsinfekt zwischen 6–12 Monaten, 69,7% nur einen. Flaschenfütterung in den ersten 6 Monaten assoziiert mit erhöhtem Risiko (IRR = 1,37; 95%-KI: 1,05–1,82; p = 0,025); Risiko stieg mit Dauer der Flaschenfütterung. Ähnlicher Trend mit Schnullergebrauch (IRR = 1,33; 95%-KI: 1,02–1,71; p = 0,031) – 37% bzw. 33% Risikoerhöhung. Stillen und Passivrauchexposition zeigten keine signifikanten Assoziationen.</w:t>
      </w:r>
    </w:p>
    <w:p>
      <w:r>
        <w:rPr>
          <w:b/>
          <w:sz w:val="19"/>
        </w:rPr>
        <w:t xml:space="preserve">Übertragbarkeit: </w:t>
      </w:r>
      <w:r>
        <w:rPr>
          <w:sz w:val="19"/>
        </w:rPr>
        <w:t>Tropisches Klima; Prävention modifizierbarer Verhaltensfaktoren nicht klimazonen-abhängig.</w:t>
      </w:r>
    </w:p>
    <w:p>
      <w:r>
        <w:rPr>
          <w:color w:val="5A7D3A"/>
          <w:sz w:val="18"/>
        </w:rPr>
        <w:t>https://pubmed.ncbi.nlm.nih.gov/42854097/</w:t>
      </w:r>
    </w:p>
    <w:p>
      <w:pPr>
        <w:pStyle w:val="Heading2"/>
      </w:pPr>
      <w:r>
        <w:t>Aedes albopictus: Klimawandel erhöht Ausbruchsrisiko in gemäßigten Zonen</w:t>
      </w:r>
    </w:p>
    <w:p>
      <w:r>
        <w:rPr>
          <w:i/>
          <w:color w:val="666666"/>
          <w:sz w:val="18"/>
        </w:rPr>
        <w:t>Kumar S et al.  ·  Indian J Med Res  ·  Aug. 2026  ·  PMID 42851228</w:t>
      </w:r>
    </w:p>
    <w:p>
      <w:r>
        <w:t>Systematische Übersichtsarbeit zu Invasionsbiologie, Vektorkompetenz und Ausbreitungsdynamik der Asiatischen Tigermücke und ihrer Rolle bei Arbovirus-Übertragung unter Klimawandel.</w:t>
      </w:r>
    </w:p>
    <w:p>
      <w:r>
        <w:rPr>
          <w:b/>
        </w:rPr>
        <w:t xml:space="preserve">Ergebnis: </w:t>
      </w:r>
      <w:r>
        <w:t>Aedes albopictus ist weniger kompetent als Ae. aegypti für Arbovirus-Transmission; Temperatur bestimmt maßgeblich Larvenentwicklung, Überlebensfähigkeit, Stechfrequenz und externe Inkubationszeit. Klimawandel wird geografische Reichweite in gemäßigte Regionen ausweiten und Transmissionspotenzial verstärken – nicht nur geografische Ausbreitung. Vertikaltransmission erhält Persistenz zwischen Epidemien.</w:t>
      </w:r>
    </w:p>
    <w:p>
      <w:r>
        <w:rPr>
          <w:b/>
          <w:sz w:val="19"/>
        </w:rPr>
        <w:t xml:space="preserve">Übertragbarkeit: </w:t>
      </w:r>
      <w:r>
        <w:rPr>
          <w:sz w:val="19"/>
        </w:rPr>
        <w:t>Gemäßigte Breiten (Deutschland): Klimawandel wird Mückenareal ausdehnen.</w:t>
      </w:r>
    </w:p>
    <w:p>
      <w:r>
        <w:rPr>
          <w:color w:val="5A7D3A"/>
          <w:sz w:val="18"/>
        </w:rPr>
        <w:t>https://pubmed.ncbi.nlm.nih.gov/42851228/</w:t>
      </w:r>
    </w:p>
    <w:p>
      <w:pPr>
        <w:pStyle w:val="Heading2"/>
      </w:pPr>
      <w:r>
        <w:t>Ruß-Sterblichkeit in China: Unterschätzung um das Doppelte</w:t>
      </w:r>
    </w:p>
    <w:p>
      <w:r>
        <w:rPr>
          <w:i/>
          <w:color w:val="666666"/>
          <w:sz w:val="18"/>
        </w:rPr>
        <w:t>Xu H et al.  ·  Nat Commun  ·  07.09.2026  ·  PMID 42844301</w:t>
      </w:r>
    </w:p>
    <w:p>
      <w:r>
        <w:t>Studie zur Hitzesterblichkeit durch Black Carbon (Rußpartikel) unter Chinas Dekarbonisierungsstrategie mit Neubewertung der Gesundheitsauswirkungen.</w:t>
      </w:r>
    </w:p>
    <w:p>
      <w:r>
        <w:rPr>
          <w:b/>
        </w:rPr>
        <w:t xml:space="preserve">Ergebnis: </w:t>
      </w:r>
      <w:r>
        <w:t>In China wurden 2015 über 540.000 vorzeitige Todesfälle durch Black-Carbon-Exposition zugeordnet – mehr als doppelt so hoch wie bisherige Angaben. Die CMIP6-Inventare unterschätzen die Gesundheitslast systematisch, während sie das Klimamilderungspotenzial um 45% überschätzen. Demografische Alterung könnte künftig Gesundheitsgewinne durch Emissionsreduktionen ausgleichen.</w:t>
      </w:r>
    </w:p>
    <w:p>
      <w:r>
        <w:rPr>
          <w:b/>
          <w:sz w:val="19"/>
        </w:rPr>
        <w:t xml:space="preserve">Übertragbarkeit: </w:t>
      </w:r>
      <w:r>
        <w:rPr>
          <w:sz w:val="19"/>
        </w:rPr>
        <w:t>Tropen, andere Luftqualitätsbedingungen; nur Methodik der Neubewertung relevant.</w:t>
      </w:r>
    </w:p>
    <w:p>
      <w:r>
        <w:rPr>
          <w:color w:val="5A7D3A"/>
          <w:sz w:val="18"/>
        </w:rPr>
        <w:t>https://pubmed.ncbi.nlm.nih.gov/42844301/</w:t>
      </w:r>
    </w:p>
    <w:p>
      <w:pPr>
        <w:pStyle w:val="Heading2"/>
      </w:pPr>
      <w:r>
        <w:t>Luftverschmutzungs-Atlanten: Vergleich verfügbarer Online-Plattformen</w:t>
      </w:r>
    </w:p>
    <w:p>
      <w:r>
        <w:rPr>
          <w:i/>
          <w:color w:val="666666"/>
          <w:sz w:val="18"/>
        </w:rPr>
        <w:t>Davoli E et al.  ·  Epidemiol Prev  ·  Juli 2026  ·  PMID 42836288</w:t>
      </w:r>
    </w:p>
    <w:p>
      <w:r>
        <w:t>Explorative Web-Review zur Identifikation und Bewertung öffentlich verfügbarer Online-Atlanten und interaktiver Karten zu Luftverschmutzung und Gesundheitsfolgen in Europa.</w:t>
      </w:r>
    </w:p>
    <w:p>
      <w:r>
        <w:rPr>
          <w:b/>
        </w:rPr>
        <w:t xml:space="preserve">Ergebnis: </w:t>
      </w:r>
      <w:r>
        <w:t>Von 1.000 gescreenten Websites erfüllten 8 die Einschlusskriterien; alle zeigten Feinstaubbelastung (PM2.5/PM10), Stickstoffdioxid und Ozon waren seltener verfügbar. Sechs Websites enthielten Dosis-Wirkungs-Schätzungen für Outcomes (meist Allsterblichkeit); nur zwei berichteten spezifische Mortalität (respiratorisch, kardiovaskulär, Krebs), keine zeigten Hospitalisierungen. Große Variabilität in Interaktivität, Lesbarkeit und Transparenz. Schlussfolgerung: Bestehende Plattformen zeigen Heterogenität – klare, transparente visuelle Kommunikation könnte Nutzbarkeit für Entscheidungsträger und Fachleute erhöhen.</w:t>
      </w:r>
    </w:p>
    <w:p>
      <w:r>
        <w:rPr>
          <w:b/>
          <w:sz w:val="19"/>
        </w:rPr>
        <w:t xml:space="preserve">Übertragbarkeit: </w:t>
      </w:r>
      <w:r>
        <w:rPr>
          <w:sz w:val="19"/>
        </w:rPr>
        <w:t>Italien, Europa; deutsche Atlanten-Standards anwendbar.</w:t>
      </w:r>
    </w:p>
    <w:p>
      <w:r>
        <w:rPr>
          <w:color w:val="5A7D3A"/>
          <w:sz w:val="18"/>
        </w:rPr>
        <w:t>https://pubmed.ncbi.nlm.nih.gov/42836288/</w:t>
      </w:r>
    </w:p>
    <w:p>
      <w:pPr>
        <w:pStyle w:val="Heading2"/>
      </w:pPr>
      <w:r>
        <w:t>Dengue-Früwarnsysteme: Barrieren für proaktive Bekämpfung in Vietnam</w:t>
      </w:r>
    </w:p>
    <w:p>
      <w:r>
        <w:rPr>
          <w:i/>
          <w:color w:val="666666"/>
          <w:sz w:val="18"/>
        </w:rPr>
        <w:t>Do KQ et al.  ·  PLoS Negl Trop Dis  ·  25.09.2026  ·  PMID 42789674</w:t>
      </w:r>
    </w:p>
    <w:p>
      <w:r>
        <w:t>Qualitative Studie mit Interviews zu Umsetzungshindernissen von Früwarnsystemen für die vektorgesteuerte Dengue-Prävention aus Sicht lokaler Akteure in Vietnam.</w:t>
      </w:r>
    </w:p>
    <w:p>
      <w:r>
        <w:rPr>
          <w:b/>
        </w:rPr>
        <w:t xml:space="preserve">Ergebnis: </w:t>
      </w:r>
      <w:r>
        <w:t>Hauptbarrieren: fehlende unterstützende Richtlinien, begrenzte Stakeholder-Beteiligung durch niedriges Verständnis von Früwarnsystemkonzepten, operative Herausforderungen, Wahrnehmung dass Dengue-Risiken nur während der Regenzeit existieren, sozioökonomische Engpässe und extreme Wetterereignisse. Die Erkenntnisse zeigen, dass Früwarnmeldungen allein nicht ausreichen, um proaktive Vektorkontrolle zu bewirken.</w:t>
      </w:r>
    </w:p>
    <w:p>
      <w:r>
        <w:rPr>
          <w:b/>
          <w:sz w:val="19"/>
        </w:rPr>
        <w:t xml:space="preserve">Übertragbarkeit: </w:t>
      </w:r>
      <w:r>
        <w:rPr>
          <w:sz w:val="19"/>
        </w:rPr>
        <w:t>Klimawandel verschärft Dengue in Tropen; Methodik der Implementierungsforschung auf Deutschland übertragbar.</w:t>
      </w:r>
    </w:p>
    <w:p>
      <w:r>
        <w:rPr>
          <w:color w:val="5A7D3A"/>
          <w:sz w:val="18"/>
        </w:rPr>
        <w:t>https://pubmed.ncbi.nlm.nih.gov/42789674/</w:t>
      </w:r>
    </w:p>
    <w:p>
      <w:pPr>
        <w:pStyle w:val="Heading2"/>
      </w:pPr>
      <w:r>
        <w:t>Klimaresiliente Krankenhäuser im Libanon: nationale Standards entwickelt</w:t>
      </w:r>
    </w:p>
    <w:p>
      <w:r>
        <w:rPr>
          <w:i/>
          <w:color w:val="666666"/>
          <w:sz w:val="18"/>
        </w:rPr>
        <w:t>Matta E et al.  ·  Int J Qual Health Care  ·  05.10.2026  ·  PMID 42788343</w:t>
      </w:r>
    </w:p>
    <w:p>
      <w:r>
        <w:t>Multiphase-Studie zur Entwicklung national angepasster Standards für klimaresiliente Krankenhäuser im Libanon durch Stakeholder-Konsultationen und Abgleich mit internationaler Guidance.</w:t>
      </w:r>
    </w:p>
    <w:p>
      <w:r>
        <w:rPr>
          <w:b/>
        </w:rPr>
        <w:t xml:space="preserve">Ergebnis: </w:t>
      </w:r>
      <w:r>
        <w:t>Es wurden 10 thematische Bereiche mit Standards definiert: Governance, Umweltmanagement, Notfallvorbereitung, Community Engagement, nachhaltige Beschaffung, Monitoring. Rechtliche Überprüfung ermöglichte Phaseneinteilung in Compliance-erforderliche Sofortmaßnahmen versus längerfristige strategische Verbesserungen. Implementierungsbewertung zeigte, dass Standards Lücken-Analyse, Kostenabschätzung und Priorisierung von Klimaresilience-Investitionen auf Einrichtungsebene ermöglichen.</w:t>
      </w:r>
    </w:p>
    <w:p>
      <w:r>
        <w:rPr>
          <w:b/>
          <w:sz w:val="19"/>
        </w:rPr>
        <w:t xml:space="preserve">Übertragbarkeit: </w:t>
      </w:r>
      <w:r>
        <w:rPr>
          <w:sz w:val="19"/>
        </w:rPr>
        <w:t>Mittlerer Osten; Methodik für Gesundheitssystem-Anpassung relevant, nicht absolute Maßstäbe.</w:t>
      </w:r>
    </w:p>
    <w:p>
      <w:r>
        <w:rPr>
          <w:color w:val="5A7D3A"/>
          <w:sz w:val="18"/>
        </w:rPr>
        <w:t>https://pubmed.ncbi.nlm.nih.gov/42788343/</w:t>
      </w:r>
    </w:p>
    <w:p>
      <w:pPr>
        <w:pStyle w:val="Heading1"/>
      </w:pPr>
      <w:r>
        <w:t>Aufgenommen am 10.10.2026</w:t>
      </w:r>
    </w:p>
    <w:p>
      <w:pPr>
        <w:pStyle w:val="Heading2"/>
      </w:pPr>
      <w:r>
        <w:t>Temperaturvariabilität und Frühgeburtsrisiko in Teheran</w:t>
      </w:r>
    </w:p>
    <w:p>
      <w:r>
        <w:rPr>
          <w:i/>
          <w:color w:val="666666"/>
          <w:sz w:val="18"/>
        </w:rPr>
        <w:t>Yavar ME et al.  ·  Int J Biometeorol  ·  09.10.2026  ·  PMID 42853465</w:t>
      </w:r>
    </w:p>
    <w:p>
      <w:r>
        <w:t>Ökologische Zeitreihenstudie zur Auswirkung des Physiological Equivalent Temperature (PET)-Index auf das Frühgeburtsrisiko in Teheran (2018–2024) mit Daten von täglichen Frühgeburten und meteorologischen Parametern.</w:t>
      </w:r>
    </w:p>
    <w:p>
      <w:r>
        <w:rPr>
          <w:b/>
        </w:rPr>
        <w:t xml:space="preserve">Ergebnis: </w:t>
      </w:r>
      <w:r>
        <w:t>Extreme Kälte (1. Perzentil PET = -1,7 °C) über 0–30 Tage Lag erhöhte das kumulative relative Risiko für Frühgeburten signifikant (RR = 1,25; 95%-KI: 1,02–1,52), mit Effekt hauptsächlich bei 20–30 Tagen Verzögerung. Extreme Hitze (99. Perzentil = 39,1 °C) zeigte keinen signifikanten Effekt (RR = 0,94; 95%-KI: 0,81–1,10).</w:t>
      </w:r>
    </w:p>
    <w:p>
      <w:r>
        <w:rPr>
          <w:b/>
          <w:sz w:val="19"/>
        </w:rPr>
        <w:t xml:space="preserve">Übertragbarkeit: </w:t>
      </w:r>
      <w:r>
        <w:rPr>
          <w:sz w:val="19"/>
        </w:rPr>
        <w:t>Tropen/Subtropen – Methodik (Lag-Modellierung) übertragbar; Temperaturschwellen nicht direkt für Deutschland relevant.</w:t>
      </w:r>
    </w:p>
    <w:p>
      <w:r>
        <w:rPr>
          <w:color w:val="5A7D3A"/>
          <w:sz w:val="18"/>
        </w:rPr>
        <w:t>https://pubmed.ncbi.nlm.nih.gov/42853465/</w:t>
      </w:r>
    </w:p>
    <w:p>
      <w:pPr>
        <w:pStyle w:val="Heading2"/>
      </w:pPr>
      <w:r>
        <w:t>Grünflächen und Luftverschmutzung schützen vor biologischer Alterung</w:t>
      </w:r>
    </w:p>
    <w:p>
      <w:r>
        <w:rPr>
          <w:i/>
          <w:color w:val="666666"/>
          <w:sz w:val="18"/>
        </w:rPr>
        <w:t>Ma G et al.  ·  Environ Health Perspect  ·  06.10.2026  ·  PMID 42852352</w:t>
      </w:r>
    </w:p>
    <w:p>
      <w:r>
        <w:t>Beschleunigte Längsschnittstudie mit 11.760 Erwachsenen (20–65 Jahre) in einer hochbelasteten chinesischen Stadt zum Effekt von Grünflächen und Luftschadstoff-Mischung auf biologische Alter-Beschleunigung (BAA).</w:t>
      </w:r>
    </w:p>
    <w:p>
      <w:r>
        <w:rPr>
          <w:b/>
        </w:rPr>
        <w:t xml:space="preserve">Ergebnis: </w:t>
      </w:r>
      <w:r>
        <w:t>Höhere Grünflächen (500 m NDVI) assoziiert mit niedrigerem Risiko für beschleunigtes Altern (OR: 0,84; 95%-KI: 0,75–0,95). Luftschadstoff-Mischung zeigte positive Assoziation mit beschleunigtem Altern (OR: 1,16; 95%-KI: 1,08–1,24), getrieben durch O3 und PM10. 25,0% des protektiven Effekts von Grünflächen war durch Pollutant-Reduktion mediiert.</w:t>
      </w:r>
    </w:p>
    <w:p>
      <w:r>
        <w:rPr>
          <w:b/>
          <w:sz w:val="19"/>
        </w:rPr>
        <w:t xml:space="preserve">Übertragbarkeit: </w:t>
      </w:r>
      <w:r>
        <w:rPr>
          <w:sz w:val="19"/>
        </w:rPr>
        <w:t>China, hochverschmutzt – nur Prinzip übertragbar; biologische Alterungsmarker und Schwellwerte klimazonenabhängig.</w:t>
      </w:r>
    </w:p>
    <w:p>
      <w:r>
        <w:rPr>
          <w:color w:val="5A7D3A"/>
          <w:sz w:val="18"/>
        </w:rPr>
        <w:t>https://pubmed.ncbi.nlm.nih.gov/42852352/</w:t>
      </w:r>
    </w:p>
    <w:p>
      <w:pPr>
        <w:pStyle w:val="Heading2"/>
      </w:pPr>
      <w:r>
        <w:t>Temperaturvariabilität und Schlaganfallrisiko unter Klimawandel</w:t>
      </w:r>
    </w:p>
    <w:p>
      <w:r>
        <w:rPr>
          <w:i/>
          <w:color w:val="666666"/>
          <w:sz w:val="18"/>
        </w:rPr>
        <w:t>Pan Z et al.  ·  Environ Health Perspect  ·  06.10.2026  ·  PMID 42852343</w:t>
      </w:r>
    </w:p>
    <w:p>
      <w:r>
        <w:t>Case-Crossover-Studie mit 1,6 Mio. individuellen Schlaganfall-Fallereignissen (2015–2022) zur Assoziation zwischen kurzfristiger Temperaturvariabilität (TV) und ischämischem Schlaganfall unter Berücksichtigung Langzeit-TV-Adaptation.</w:t>
      </w:r>
    </w:p>
    <w:p>
      <w:r>
        <w:rPr>
          <w:b/>
        </w:rPr>
        <w:t xml:space="preserve">Ergebnis: </w:t>
      </w:r>
      <w:r>
        <w:t>Kurzfristige TV-Exposition signifikant positiv assoziiert mit Schlaganfallrisiko; Langzeit-TV modifizierte Effekt – Populationen in persistently-high-TV-Regionen vulnerabler. Schlaganfälle zurechenbar zu TV verdoppelten sich 2000–2020. Unter Emissions-Szenario SSP5-8.5 prognostiziert: Attributable Fraktion des ischämischen Schlaganfalls +19–58 % bis Jahrhundertende, besonders SW- und Südchina.</w:t>
      </w:r>
    </w:p>
    <w:p>
      <w:r>
        <w:rPr>
          <w:b/>
          <w:sz w:val="19"/>
        </w:rPr>
        <w:t xml:space="preserve">Übertragbarkeit: </w:t>
      </w:r>
      <w:r>
        <w:rPr>
          <w:sz w:val="19"/>
        </w:rPr>
        <w:t>China – Temperaturvariabilität und Adaptationsniveaus nicht direkt übertragbar; Methodik und Konzept (Klimawandel-Impact auf CVD) relevant für Deutschland.</w:t>
      </w:r>
    </w:p>
    <w:p>
      <w:r>
        <w:rPr>
          <w:color w:val="5A7D3A"/>
          <w:sz w:val="18"/>
        </w:rPr>
        <w:t>https://pubmed.ncbi.nlm.nih.gov/42852343/</w:t>
      </w:r>
    </w:p>
    <w:p>
      <w:pPr>
        <w:pStyle w:val="Heading2"/>
      </w:pPr>
      <w:r>
        <w:t>Klimabewusstsein und Öko-Angst von Gesundheitsprofessionals</w:t>
      </w:r>
    </w:p>
    <w:p>
      <w:r>
        <w:rPr>
          <w:i/>
          <w:color w:val="666666"/>
          <w:sz w:val="18"/>
        </w:rPr>
        <w:t>Özdemir T et al.  ·  BMC Health Serv Res  ·  01.10.2026  ·  PMID 42850626</w:t>
      </w:r>
    </w:p>
    <w:p>
      <w:r>
        <w:t>Querschnittsstudie mit 460 Gesundheitsfachleuten in klinischen Einrichtungen zur Beziehung zwischen Klimawandel-Bewusstsein, Öko-Angst-Niveau und Umweltsensibilität.</w:t>
      </w:r>
    </w:p>
    <w:p>
      <w:r>
        <w:rPr>
          <w:b/>
        </w:rPr>
        <w:t xml:space="preserve">Ergebnis: </w:t>
      </w:r>
      <w:r>
        <w:t>Gesundheitsfachleute zeigten moderate Niveaus von Klimabewusstsein und Umweltsensibilität sowie moderate Öko-Angst. Regression ergab signifikante Prädiktoren für Umweltsensibilität: Klimabewusstsein, Krankenpflege-Beruf, Alter ≥45 Jahre und Umweltorganisationsmitgliedschaft. Rumination-Subdimension der Öko-Angst marginal, nicht signifikant (p = 0,064).</w:t>
      </w:r>
    </w:p>
    <w:p>
      <w:r>
        <w:rPr>
          <w:b/>
          <w:sz w:val="19"/>
        </w:rPr>
        <w:t xml:space="preserve">Übertragbarkeit: </w:t>
      </w:r>
      <w:r>
        <w:rPr>
          <w:sz w:val="19"/>
        </w:rPr>
        <w:t>Türkei, vergleichbarer Versorgungskontext – Personalressourcen und Professionalisierung ähnlich; Befunde zur Capacity-Bildung relevant für Deutschland.</w:t>
      </w:r>
    </w:p>
    <w:p>
      <w:r>
        <w:rPr>
          <w:color w:val="5A7D3A"/>
          <w:sz w:val="18"/>
        </w:rPr>
        <w:t>https://pubmed.ncbi.nlm.nih.gov/42850626/</w:t>
      </w:r>
    </w:p>
    <w:p>
      <w:pPr>
        <w:pStyle w:val="Heading2"/>
      </w:pPr>
      <w:r>
        <w:t>Luftverschmutzung und angeborene Herzfehler via Blutproteine</w:t>
      </w:r>
    </w:p>
    <w:p>
      <w:r>
        <w:rPr>
          <w:i/>
          <w:color w:val="666666"/>
          <w:sz w:val="18"/>
        </w:rPr>
        <w:t>Liang C et al.  ·  Nat Commun  ·  09.09.2026  ·  PMID 42850264</w:t>
      </w:r>
    </w:p>
    <w:p>
      <w:r>
        <w:t>Verschachtelte Fall-Kontroll-Studie zum Zusammenhang zwischen pränataler PM2,5-/PM10-/NO2-Exposition und angeborenen Herzfehlern (CHD) über Protein-Signaturen in Mutter- und Nabelschnurserum.</w:t>
      </w:r>
    </w:p>
    <w:p>
      <w:r>
        <w:rPr>
          <w:b/>
        </w:rPr>
        <w:t xml:space="preserve">Ergebnis: </w:t>
      </w:r>
      <w:r>
        <w:t>Mütterliche Exposition gegenüber PM2,5, PM10 und NO2 signifikant assoziiert mit erhöhtem CHD-Risiko in der Perikonzeptionsphase; NO2 zeigte stärksten Effekt. Spezifische Proteine (FGF-4, VEGF-D, MSP, Angiogenin) identifiziert als möglicherweise in Luftverschmutzungs-assoziierten Herzmalformationen beteiligt.</w:t>
      </w:r>
    </w:p>
    <w:p>
      <w:r>
        <w:rPr>
          <w:b/>
          <w:sz w:val="19"/>
        </w:rPr>
        <w:t xml:space="preserve">Übertragbarkeit: </w:t>
      </w:r>
      <w:r>
        <w:rPr>
          <w:sz w:val="19"/>
        </w:rPr>
        <w:t>China, großstädtischer Kontext – Schadstoff-Mix und Pollutant-Niveaus unterscheiden sich von Deutschland deutlich.</w:t>
      </w:r>
    </w:p>
    <w:p>
      <w:r>
        <w:rPr>
          <w:color w:val="5A7D3A"/>
          <w:sz w:val="18"/>
        </w:rPr>
        <w:t>https://pubmed.ncbi.nlm.nih.gov/42850264/</w:t>
      </w:r>
    </w:p>
    <w:p>
      <w:pPr>
        <w:pStyle w:val="Heading2"/>
      </w:pPr>
      <w:r>
        <w:t>Luftschadstoffe und Konjunktivitis-Ambulanzbesuche in Hefei, China</w:t>
      </w:r>
    </w:p>
    <w:p>
      <w:r>
        <w:rPr>
          <w:i/>
          <w:color w:val="666666"/>
          <w:sz w:val="18"/>
        </w:rPr>
        <w:t>Zhang X et al.  ·  Front Public Health  ·  23.09.2026  ·  PMID 42845995</w:t>
      </w:r>
    </w:p>
    <w:p>
      <w:r>
        <w:t>Zeitreihenstudie mit 73.043 Konjunktivitis-Ambulanzbesuchen (2014–2023) zur Assoziation zwischen fünf Luftschadstoffen (PM2,5, PM10, O3, NO2, SO2) und Erkrankungsrisiko.</w:t>
      </w:r>
    </w:p>
    <w:p>
      <w:r>
        <w:rPr>
          <w:b/>
        </w:rPr>
        <w:t xml:space="preserve">Ergebnis: </w:t>
      </w:r>
      <w:r>
        <w:t>Alle fünf Luftschadstoffe zeigten positive Assoziationen mit erhöhtem Konjunktivitis-Risiko; SO2 zeigte den stärksten Same-Day-Effekt (Lag 0), gefolgt von NO2. Effektgröße variierte zwischen Schadstoffen; Subgruppeneffekte nach Geschlecht, Alter und Jahreszeit beobachtet.</w:t>
      </w:r>
    </w:p>
    <w:p>
      <w:r>
        <w:rPr>
          <w:b/>
          <w:sz w:val="19"/>
        </w:rPr>
        <w:t xml:space="preserve">Übertragbarkeit: </w:t>
      </w:r>
      <w:r>
        <w:rPr>
          <w:sz w:val="19"/>
        </w:rPr>
        <w:t>China – gemäßigte bis subtropische Klimazone; Methodik übertragbar, aber Pollutant-Mix unterscheidet sich regional von Deutschland.</w:t>
      </w:r>
    </w:p>
    <w:p>
      <w:r>
        <w:rPr>
          <w:color w:val="5A7D3A"/>
          <w:sz w:val="18"/>
        </w:rPr>
        <w:t>https://pubmed.ncbi.nlm.nih.gov/42845995/</w:t>
      </w:r>
    </w:p>
    <w:p>
      <w:pPr>
        <w:pStyle w:val="Heading1"/>
      </w:pPr>
      <w:r>
        <w:t>Aufgenommen am 09.10.2026</w:t>
      </w:r>
    </w:p>
    <w:p>
      <w:pPr>
        <w:pStyle w:val="Heading2"/>
      </w:pPr>
      <w:r>
        <w:t>Gesundheitsframing bei Klimakommunikation: systematische Übersicht von 54 Studien</w:t>
      </w:r>
    </w:p>
    <w:p>
      <w:r>
        <w:rPr>
          <w:i/>
          <w:color w:val="666666"/>
          <w:sz w:val="18"/>
        </w:rPr>
        <w:t>Chan FHF et al.  ·  Ann Behav Med  ·  07.01.2026  ·  PMID 42847353</w:t>
      </w:r>
    </w:p>
    <w:p>
      <w:r>
        <w:t>Systematische Übersicht mit qualitativer Synthese von 46 Studien (54 Studiendesigns) zu Wirksamkeit von gesundheitsgerahmten Umweltbotschaften auf Wahrnehmung und Verhalten.</w:t>
      </w:r>
    </w:p>
    <w:p>
      <w:r>
        <w:rPr>
          <w:b/>
        </w:rPr>
        <w:t xml:space="preserve">Ergebnis: </w:t>
      </w:r>
      <w:r>
        <w:t>Gesundheitsgerahmte Botschaften (Gewinnframing, Mitigation-Nutzen) wurden als klar und hilfreich wahrgenommen, erhöhten Bedrohungswahrnehmung, Politikunterstützung und schützende Absichten. Effekte auf nachhaltige Lebensstiländerungen und Advocacy-Verhalten waren weniger konsistent. Über 180.000 Teilnehmer: Botschaften steigerten Sorge und Politikunterstützung, führten aber selten zu konkreten Verhaltensänderungen.</w:t>
      </w:r>
    </w:p>
    <w:p>
      <w:r>
        <w:rPr>
          <w:b/>
          <w:sz w:val="19"/>
        </w:rPr>
        <w:t xml:space="preserve">Übertragbarkeit: </w:t>
      </w:r>
      <w:r>
        <w:rPr>
          <w:sz w:val="19"/>
        </w:rPr>
        <w:t>Überwiegend englischsprachige Hocheinkommensländer, Methodik zur Risikokommunikation in Deutschland relevant</w:t>
      </w:r>
    </w:p>
    <w:p>
      <w:r>
        <w:rPr>
          <w:color w:val="5A7D3A"/>
          <w:sz w:val="18"/>
        </w:rPr>
        <w:t>https://pubmed.ncbi.nlm.nih.gov/42847353/</w:t>
      </w:r>
    </w:p>
    <w:p>
      <w:pPr>
        <w:pStyle w:val="Heading2"/>
      </w:pPr>
      <w:r>
        <w:t>Von El-Niño-Vorhersagen zu Gesundheitsmaßnahmen: ein Forecast-to-Action-Rahmen</w:t>
      </w:r>
    </w:p>
    <w:p>
      <w:r>
        <w:rPr>
          <w:i/>
          <w:color w:val="666666"/>
          <w:sz w:val="18"/>
        </w:rPr>
        <w:t>Bajrai LH et al.  ·  Front Public Health  ·  23.09.2026  ·  PMID 42845914</w:t>
      </w:r>
    </w:p>
    <w:p>
      <w:r>
        <w:t>Perspektive-Artikel schlägt ein adaptives Rahmenwerk vor, das ENSO-Vorhersagen (El Niño) mit regionalen Klimaprognosen und lokalem Gesundheitsrisikomanagement verknüpft.</w:t>
      </w:r>
    </w:p>
    <w:p>
      <w:r>
        <w:rPr>
          <w:b/>
        </w:rPr>
        <w:t xml:space="preserve">Ergebnis: </w:t>
      </w:r>
      <w:r>
        <w:t>Drei-Ebenen-Modell: ENSO-Vorhersage, regionale Klimaprognose, Gesundheitsrisikoprognose. Zentrale Empfehlung: El-Niño-Vorhersage sollte strukturierte Risikobewertung einleiten, nicht automatisch Interventionen triggern. Entscheidungen sollten Vorhersagewahrscheinlichkeit, regionale Epidemiologie, Verwundbarkeit und Interventionswirksamkeit integrieren.</w:t>
      </w:r>
    </w:p>
    <w:p>
      <w:r>
        <w:rPr>
          <w:b/>
          <w:sz w:val="19"/>
        </w:rPr>
        <w:t xml:space="preserve">Übertragbarkeit: </w:t>
      </w:r>
      <w:r>
        <w:rPr>
          <w:sz w:val="19"/>
        </w:rPr>
        <w:t>Prinzipien für Klimafrühwarnsysteme und Adaptation prinzipiell übertragbar, aber auf tropische/subtropische Systeme fokussiert</w:t>
      </w:r>
    </w:p>
    <w:p>
      <w:r>
        <w:rPr>
          <w:color w:val="5A7D3A"/>
          <w:sz w:val="18"/>
        </w:rPr>
        <w:t>https://pubmed.ncbi.nlm.nih.gov/42845914/</w:t>
      </w:r>
    </w:p>
    <w:p>
      <w:pPr>
        <w:pStyle w:val="Heading2"/>
      </w:pPr>
      <w:r>
        <w:t>Innenraum-PM2.5 und Sterblichkeit bei älteren Erwachsenen in China: Kohortenstudie mit Komponentenanalyse</w:t>
      </w:r>
    </w:p>
    <w:p>
      <w:r>
        <w:rPr>
          <w:i/>
          <w:color w:val="666666"/>
          <w:sz w:val="18"/>
        </w:rPr>
        <w:t>Wen Y et al.  ·  BMC Public Health  ·  07.09.2026  ·  PMID 42844605</w:t>
      </w:r>
    </w:p>
    <w:p>
      <w:r>
        <w:t>Prospektive Kohortenstudie mit 12.607 älteren Teilnehmern (Alter ≥75 Jahre) zur Assoziation zwischen Innenraum-PM2.5, seinen Bestandteilen und Gesamt-Mortalität über medianen 4,14-Jahre Follow-up.</w:t>
      </w:r>
    </w:p>
    <w:p>
      <w:r>
        <w:rPr>
          <w:b/>
        </w:rPr>
        <w:t xml:space="preserve">Ergebnis: </w:t>
      </w:r>
      <w:r>
        <w:t>8.643 Todesfälle dokumentiert. PM2.5 um 1 µg/m³ erhöht Mortalitätsrisiko um 0,3% (HR = 1,003; 95%-KI: 1,001–1,005). Schwarzkohlenstoff (BC) zeigte stärksten Effekt: +7,2% pro 1 µg/m³ (HR = 1,072; 95%-KI: 1,035–1,111). Organische Stoffe und Sulfate ebenfalls signifikant. Nichtlineares Konzentrations-Risiko-Verhältnis.</w:t>
      </w:r>
    </w:p>
    <w:p>
      <w:r>
        <w:rPr>
          <w:b/>
          <w:sz w:val="19"/>
        </w:rPr>
        <w:t xml:space="preserve">Übertragbarkeit: </w:t>
      </w:r>
      <w:r>
        <w:rPr>
          <w:sz w:val="19"/>
        </w:rPr>
        <w:t>China, andere Klimazone; aber Indoor-Exposition und Alter relevant für Deutschland, Methodik (nicht Schwellenwerte) übertragbar</w:t>
      </w:r>
    </w:p>
    <w:p>
      <w:r>
        <w:rPr>
          <w:color w:val="5A7D3A"/>
          <w:sz w:val="18"/>
        </w:rPr>
        <w:t>https://pubmed.ncbi.nlm.nih.gov/42844605/</w:t>
      </w:r>
    </w:p>
    <w:p>
      <w:pPr>
        <w:pStyle w:val="Heading2"/>
      </w:pPr>
      <w:r>
        <w:t>Kokreation zur Entwicklung des Italienischen Atlante Aria und Salute</w:t>
      </w:r>
    </w:p>
    <w:p>
      <w:r>
        <w:rPr>
          <w:i/>
          <w:color w:val="666666"/>
          <w:sz w:val="18"/>
        </w:rPr>
        <w:t>Davoli E et al.  ·  Epidemiol Prev  ·  Juli 2026  ·  PMID 42836289</w:t>
      </w:r>
    </w:p>
    <w:p>
      <w:r>
        <w:t>Qualitative Studie: Delphi-Prozess mit Experten zur Festlegung von Inhalten eines nationalen Atlases für Luftverschmutzungs- und Gesundheitseffekte in Italien.</w:t>
      </w:r>
    </w:p>
    <w:p>
      <w:r>
        <w:rPr>
          <w:b/>
        </w:rPr>
        <w:t xml:space="preserve">Ergebnis: </w:t>
      </w:r>
      <w:r>
        <w:t>16–22 Experten über zwei Delphi-Runden. Konsens auf: PM2.5 und NO2 als Exposures, kommunale Auflösung, Mortalität und Krankenhausaufnahmen (natürlich, kardiovaskulär, zerebrovaskular, respiratorisch, Lungenkrebs) als Outcomes. Attributable Fraktionen gegen WHO-Guideline-Werte (5 µg/m³ PM2.5, 10 µg/m³ NO2) berechnet. Kokreativer Prozess sicherte breite Beteiligung bei wissenschaftlicher Evidenzkonsistenz.</w:t>
      </w:r>
    </w:p>
    <w:p>
      <w:r>
        <w:rPr>
          <w:b/>
          <w:sz w:val="19"/>
        </w:rPr>
        <w:t xml:space="preserve">Übertragbarkeit: </w:t>
      </w:r>
      <w:r>
        <w:rPr>
          <w:sz w:val="19"/>
        </w:rPr>
        <w:t>Italien, Mitteleuropa, sehr hohes Übertragungspotential für deutsche Atlas-Entwicklung und Gesundheitsfolgenabschätzung</w:t>
      </w:r>
    </w:p>
    <w:p>
      <w:r>
        <w:rPr>
          <w:color w:val="5A7D3A"/>
          <w:sz w:val="18"/>
        </w:rPr>
        <w:t>https://pubmed.ncbi.nlm.nih.gov/42836289/</w:t>
      </w:r>
    </w:p>
    <w:p>
      <w:pPr>
        <w:pStyle w:val="Heading2"/>
      </w:pPr>
      <w:r>
        <w:t>Leishmaniasis in Südeuropa: Sozioökonomie und Immunstatus als Haupttreiber</w:t>
      </w:r>
    </w:p>
    <w:p>
      <w:r>
        <w:rPr>
          <w:i/>
          <w:color w:val="666666"/>
          <w:sz w:val="18"/>
        </w:rPr>
        <w:t>Wang D et al.  ·  PLoS Negl Trop Dis  ·  05.10.2026  ·  PMID 42832561</w:t>
      </w:r>
    </w:p>
    <w:p>
      <w:r>
        <w:t>Studie untersuchte Risikofaktoren für humane Leishmaniasis in fünf südeuropäischen Ländern mittels multivariater Analyse von Sozioökonomie, Immunstatus, Klima, Landnutzung und Ökologie.</w:t>
      </w:r>
    </w:p>
    <w:p>
      <w:r>
        <w:rPr>
          <w:b/>
        </w:rPr>
        <w:t xml:space="preserve">Ergebnis: </w:t>
      </w:r>
      <w:r>
        <w:t>Sozioökonomische Faktoren (Demografie, Beruf, Wohnbedingungen) waren stark mit Leishmaniasis-Inzidenz assoziiert, humane Immunsuppression hochkorreliert mit Risiko in Spanien und Italien. Klima grenzte leishmaniosefreie von endemischen Regionen ab. Klimawandel allein könnte die Ausbreitung in diesem Jahrhundert nicht vorantreiben.</w:t>
      </w:r>
    </w:p>
    <w:p>
      <w:r>
        <w:rPr>
          <w:b/>
          <w:sz w:val="19"/>
        </w:rPr>
        <w:t xml:space="preserve">Übertragbarkeit: </w:t>
      </w:r>
      <w:r>
        <w:rPr>
          <w:sz w:val="19"/>
        </w:rPr>
        <w:t>Südeuropa, vergleichbare Klimazone, strukturell ähnlich; Methodologie zu Risikogruppen übertragbar</w:t>
      </w:r>
    </w:p>
    <w:p>
      <w:r>
        <w:rPr>
          <w:color w:val="5A7D3A"/>
          <w:sz w:val="18"/>
        </w:rPr>
        <w:t>https://pubmed.ncbi.nlm.nih.gov/42832561/</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2026-10-19T06:00:00Z</dcterms:created>
  <dcterms:modified xsi:type="dcterms:W3CDTF">2026-10-19T06:00:00Z</dcterms:modified>
  <cp:category/>
</cp:coreProperties>
</file>