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23.09.2026  |  6 Studien  |  klima.m-vf.de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Saisonale Sterblichkeitsschwankungen nach Todesursache in Italien, 2004-19</w:t>
      </w:r>
    </w:p>
    <w:p>
      <w:r>
        <w:rPr>
          <w:i/>
          <w:color w:val="666666"/>
          <w:sz w:val="18"/>
        </w:rPr>
        <w:t>Marinetti I et al.  ·  Eur J Public Health  ·  04.08.2026  ·  PMID 42771858</w:t>
      </w:r>
    </w:p>
    <w:p>
      <w:r>
        <w:t>Analyse der intra-annuellen Sterblichkeit in Italien zeigt, dass Herz- und Atemwegserkrankungen mit ca. 40% bzw. 15% der Übersterblichkeit den größten Anteil ausmachen, mit stabilen Mustern über die Zeit trotz rückläufiger Grundsterblichkeit.</w:t>
      </w:r>
    </w:p>
    <w:p>
      <w:r>
        <w:rPr>
          <w:b/>
        </w:rPr>
        <w:t xml:space="preserve">Ergebnis: </w:t>
      </w:r>
      <w:r>
        <w:t>Herz- und Atemwegserkrankungen verursachen zusammen etwa 55% der saisonalen Übersterblichkeit. Die relative intra-annuelle Belastung ist trotz gesunkener Grundsterblichkeit stabil oder gestiegen, was auf persistierende saisonale Anfälligkeit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gemäßigte Klimazone; deutsches Gesundheitssystem vergleichbar</w:t>
      </w:r>
    </w:p>
    <w:p>
      <w:r>
        <w:rPr>
          <w:color w:val="5A7D3A"/>
          <w:sz w:val="18"/>
        </w:rPr>
        <w:t>https://pubmed.ncbi.nlm.nih.gov/42771858/</w:t>
      </w:r>
    </w:p>
    <w:p>
      <w:pPr>
        <w:pStyle w:val="Heading2"/>
      </w:pPr>
      <w:r>
        <w:t>Kurzfristige Gesundheitseffekte der Luftverschmutzung in Kanada: nichtlineares Mehrschadstoffe-Modell</w:t>
      </w:r>
    </w:p>
    <w:p>
      <w:r>
        <w:rPr>
          <w:i/>
          <w:color w:val="666666"/>
          <w:sz w:val="18"/>
        </w:rPr>
        <w:t>Huang G et al.  ·  Int J Epidemiol  ·  18.08.2026  ·  PMID 42771856</w:t>
      </w:r>
    </w:p>
    <w:p>
      <w:r>
        <w:t>Nichtlinear-Mehrschadstoffe-Bayessches Case-Crossover-Modell zu Kurzzeitzeffekten von PM2.5, NO₂, O₃ auf Mortalität und Hospitalisierung in 20 kanadischen Regionen 2001-2018.</w:t>
      </w:r>
    </w:p>
    <w:p>
      <w:r>
        <w:rPr>
          <w:b/>
        </w:rPr>
        <w:t xml:space="preserve">Ergebnis: </w:t>
      </w:r>
      <w:r>
        <w:t>Kombinierter PM2.5+NO₂-Metrik zeigte klarste positive Assoziationen mit Gesamtsterblichkeit und -hospitalisierung. Pro 10er-Kontrast: +1,5% (95% CrI: 0,3-2,2) Gesamtsterblichkeit, +0,6% (95% CrI: 0,0-1,3) Gesamthospitalisierung. Senior-Atemwegshospitalisierung: +2,7% (95% CrI: 0,9-4,5). PM2.5- und NO₂-Kurven waren teilweise nichtlinear.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 gemäßigte Klimazone; Mehrschadstoff-Methodologie auf Deutschland anwendbar</w:t>
      </w:r>
    </w:p>
    <w:p>
      <w:r>
        <w:rPr>
          <w:color w:val="5A7D3A"/>
          <w:sz w:val="18"/>
        </w:rPr>
        <w:t>https://pubmed.ncbi.nlm.nih.gov/42771856/</w:t>
      </w:r>
    </w:p>
    <w:p>
      <w:pPr>
        <w:pStyle w:val="Heading2"/>
      </w:pPr>
      <w:r>
        <w:t>Stadtmobilität bei Waldrauchqualitätswarnungen in Montréal</w:t>
      </w:r>
    </w:p>
    <w:p>
      <w:r>
        <w:rPr>
          <w:i/>
          <w:color w:val="666666"/>
          <w:sz w:val="18"/>
        </w:rPr>
        <w:t>Romm D et al.  ·  Health Place  ·  12.09.2026  ·  PMID 42731249</w:t>
      </w:r>
    </w:p>
    <w:p>
      <w:r>
        <w:t>Untersuchung der Mobilitätsveränderungen Montréals während Waldrauch-Luftqualitätswarnungen 2022-2025 mit Time-Series-Modellierung von vier Mobilitätsdatensätzen.</w:t>
      </w:r>
    </w:p>
    <w:p>
      <w:r>
        <w:rPr>
          <w:b/>
        </w:rPr>
        <w:t xml:space="preserve">Ergebnis: </w:t>
      </w:r>
      <w:r>
        <w:t>Luftqualitätswarnungen assoziiert mit Verlagerung von aktiver auf geschlossene Transportmodi: Fahrradnutzung sank, Bus- und U-Bahn-Nutzung stieg signifikant. Innerhalb der Stadt zeigten sich heterogene Effekte. Freizeitleuf zeigte keinen signifikanten Response.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gemäßigte Klimazone; urbane Vulnerabilität und öffentliche Verkehrsreaktionen übertragbar</w:t>
      </w:r>
    </w:p>
    <w:p>
      <w:r>
        <w:rPr>
          <w:color w:val="5A7D3A"/>
          <w:sz w:val="18"/>
        </w:rPr>
        <w:t>https://pubmed.ncbi.nlm.nih.gov/42731249/</w:t>
      </w:r>
    </w:p>
    <w:p>
      <w:pPr>
        <w:pStyle w:val="Heading2"/>
      </w:pPr>
      <w:r>
        <w:t>Lancet Countdown 2026 Europe Cities Report: Städte an der Spitze des Klimahandelns</w:t>
      </w:r>
    </w:p>
    <w:p>
      <w:r>
        <w:rPr>
          <w:i/>
          <w:color w:val="666666"/>
          <w:sz w:val="18"/>
        </w:rPr>
        <w:t>Chen-Xu J et al.  ·  Lancet Public Health  ·  09.09.2026  ·  PMID 42716068</w:t>
      </w:r>
    </w:p>
    <w:p>
      <w:r>
        <w:t>Europäischer Bericht zu Klimawandel und Gesundheit in Städten, untersucht Fortschritte und Engpässe bei Anpassung, Mitigation und Gesundheitsfolgen in europäischen Großstädten.</w:t>
      </w:r>
    </w:p>
    <w:p>
      <w:r>
        <w:rPr>
          <w:b/>
        </w:rPr>
        <w:t xml:space="preserve">Ergebnis: </w:t>
      </w:r>
      <w:r>
        <w:t>Mehrere Schlüsselfeststellungen: Städte zeigen Fortschritte bei Hitzemaßnahmen und -planung, aber ungleiche Umsetzung. Luftqualitätsverbesserungen in manchen Städten messbar. Hitzebelastung in schutzbedürftigen Gruppen persistent. Gesundheitssystem-Emissionsreduktion unzureichend.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direkt auf Deutschland übertragbar; hochwertige Datengrundlage</w:t>
      </w:r>
    </w:p>
    <w:p>
      <w:r>
        <w:rPr>
          <w:color w:val="5A7D3A"/>
          <w:sz w:val="18"/>
        </w:rPr>
        <w:t>https://pubmed.ncbi.nlm.nih.gov/42716068/</w:t>
      </w:r>
    </w:p>
    <w:p>
      <w:pPr>
        <w:pStyle w:val="Heading2"/>
      </w:pPr>
      <w:r>
        <w:t>Globale Sekundärrauchexposition: Prävalenz, Krankheitslast und Verteilungsgerechtigkeit</w:t>
      </w:r>
    </w:p>
    <w:p>
      <w:r>
        <w:rPr>
          <w:i/>
          <w:color w:val="666666"/>
          <w:sz w:val="18"/>
        </w:rPr>
        <w:t>GBD 2023 Second-hand smoke Collaborators  ·  Lancet Public Health  ·  07.09.2026  ·  PMID 42705247</w:t>
      </w:r>
    </w:p>
    <w:p>
      <w:r>
        <w:t>Global Burden of Disease 2023 Analyse der Sekundärrauchexposition (SHS) in 204 Ländern mit Prävalenzschätzung, Attributionsfraktionen und gesundheitlichen Folgen 1990-2023.</w:t>
      </w:r>
    </w:p>
    <w:p>
      <w:r>
        <w:rPr>
          <w:b/>
        </w:rPr>
        <w:t xml:space="preserve">Ergebnis: </w:t>
      </w:r>
      <w:r>
        <w:t>2023 waren 2,71 Mrd. Menschen (95% UI: 2,44-3,02) SHS-exponiert, davon 767 Mio. Kinder (0-14 Jahre). Trotz 22,2% Rückgang der altersstandard. Prävalenz seit 1990 ist absolute Anzahl stabil. SHS verursachte 1,66 Mio. Todesfälle (1,33-2,07) und 44,8 Mio. DALYs (35,8-54,3). Herzkrankheit führend bei 12,0 Mio. DALYs (9,31-15,2), untere Atemwegsinfektionen bei Kindern mit 5,16 Mio. (3,48-7,12).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Global; relevante Risikogruppen und Mechanismen auch für Deutschland</w:t>
      </w:r>
    </w:p>
    <w:p>
      <w:r>
        <w:rPr>
          <w:color w:val="5A7D3A"/>
          <w:sz w:val="18"/>
        </w:rPr>
        <w:t>https://pubmed.ncbi.nlm.nih.gov/42705247/</w:t>
      </w:r>
    </w:p>
    <w:p>
      <w:pPr>
        <w:pStyle w:val="Heading2"/>
      </w:pPr>
      <w:r>
        <w:t>Ultra Low Emission Zone Londons: Lungenfunktionswachstum bei Kindern</w:t>
      </w:r>
    </w:p>
    <w:p>
      <w:r>
        <w:rPr>
          <w:i/>
          <w:color w:val="666666"/>
          <w:sz w:val="18"/>
        </w:rPr>
        <w:t>Wood HE et al.  ·  Lancet Public Health  ·  18.08.2026  ·  PMID 42612665</w:t>
      </w:r>
    </w:p>
    <w:p>
      <w:r>
        <w:t>Prospektive Kohortenstudie vergleicht Lungenfunktionswachstum (FEV1) über 5 Jahre in London (mit ULEZ) und Luton (ohne), mit Messung der Expositionsveränderung zu NO₂, PM10, PM2.5.</w:t>
      </w:r>
    </w:p>
    <w:p>
      <w:r>
        <w:rPr>
          <w:b/>
        </w:rPr>
        <w:t xml:space="preserve">Ergebnis: </w:t>
      </w:r>
      <w:r>
        <w:t>FEV1-Wachstum stieg in London um 10 mL/Jahr mehr als in Luton (233 vs. 223 mL/Jahr, p=0,0002). NO₂-Expositionen sanken in London schneller (-3,77 vs. -1,77 μg/m³/Jahr, p&lt;0,0001). Anteil mit klinisch beeinträchtigter Lungenfunktion fiel in London von 14% auf 9%, in Luton von 9% auf 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Klimazone und Luftqualitätsprobleme; Clean-Air-Zone-Evidenz für Deutsche Städte relevant</w:t>
      </w:r>
    </w:p>
    <w:p>
      <w:r>
        <w:rPr>
          <w:color w:val="5A7D3A"/>
          <w:sz w:val="18"/>
        </w:rPr>
        <w:t>https://pubmed.ncbi.nlm.nih.gov/42612665/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