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04.10.2026  |  6 Studien  |  klima.m-vf.de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Verhaltensänderung und Systemwandel in Klimaschutzmaßnahmen</w:t>
      </w:r>
    </w:p>
    <w:p>
      <w:r>
        <w:rPr>
          <w:i/>
          <w:color w:val="666666"/>
          <w:sz w:val="18"/>
        </w:rPr>
        <w:t>Crielaard L et al.  ·  Int J Behav Nutr Phys Act  ·  02.10.2026  ·  PMID 42827262</w:t>
      </w:r>
    </w:p>
    <w:p>
      <w:r>
        <w:t>Qualitative Analyse, wie wissenschaftliche Gesellschaften Klimahandeln zwischen Individualverantwortung und strukturellem Wandel gestalten können.</w:t>
      </w:r>
    </w:p>
    <w:p>
      <w:r>
        <w:rPr>
          <w:b/>
        </w:rPr>
        <w:t xml:space="preserve">Ergebnis: </w:t>
      </w:r>
      <w:r>
        <w:t>Zentrale Kernaussage: Fokus auf individuelle Kohlenstoffbilanzierung ohne eingebettete institutionelle Veränderungen riskiert Überbetonung der Einzelverantwortung. Vier Systemwissenschafts-Lenses identifiziert (Lastverschiebung, fundamentaler Attributionsfehler, Bergaufstrecke, unbeabsichtigte Folgen) mit drei Handlungsansätzen für Verbände.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Versorgungssystem; Systemisches Denken für deutsche Gesundheitssektor-Institutionen.</w:t>
      </w:r>
    </w:p>
    <w:p>
      <w:r>
        <w:rPr>
          <w:color w:val="5A7D3A"/>
          <w:sz w:val="18"/>
        </w:rPr>
        <w:t>https://pubmed.ncbi.nlm.nih.gov/42827262/</w:t>
      </w:r>
    </w:p>
    <w:p>
      <w:pPr>
        <w:pStyle w:val="Heading2"/>
      </w:pPr>
      <w:r>
        <w:t>Viscerale Leishmaniasis: Umweltdeterminanten und One-Health-Perspektive</w:t>
      </w:r>
    </w:p>
    <w:p>
      <w:r>
        <w:rPr>
          <w:i/>
          <w:color w:val="666666"/>
          <w:sz w:val="18"/>
        </w:rPr>
        <w:t>Shrivastava SR et al.  ·  Front Public Health  ·  15.09.2026  ·  PMID 42812481</w:t>
      </w:r>
    </w:p>
    <w:p>
      <w:r>
        <w:t>Qualitative Perspektivarbeit zur Integration von Umweltrisiken und Siedlungsstruktur in Kala-Azar-Eliminationsstrategien aus One-Health-Sicht.</w:t>
      </w:r>
    </w:p>
    <w:p>
      <w:r>
        <w:rPr>
          <w:b/>
        </w:rPr>
        <w:t xml:space="preserve">Ergebnis: </w:t>
      </w:r>
      <w:r>
        <w:t>Kernaussage: Umweltsurveillance (Habitatqualität, Vektor-Ökologie, Abwasser) ist bislang unterpriorisiert. Empfohlen: Systematische Umweltbewertungen, Community-basiertes Monitoring, harmonisierte Datenerfassung, Integration mit klinischen und epidemiologischen Strategien zur Stärkung der Nachhaltigkeit von Eliminationsprogrammen.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Südasien-Konzept; Methodik für Vektor-Überwachung relevant, absolutes Endemie-Risiko dort grundlegend anders.</w:t>
      </w:r>
    </w:p>
    <w:p>
      <w:r>
        <w:rPr>
          <w:color w:val="5A7D3A"/>
          <w:sz w:val="18"/>
        </w:rPr>
        <w:t>https://pubmed.ncbi.nlm.nih.gov/42812481/</w:t>
      </w:r>
    </w:p>
    <w:p>
      <w:pPr>
        <w:pStyle w:val="Heading2"/>
      </w:pPr>
      <w:r>
        <w:t>Schistosomiasis-Kontrolle unter One-Health-Konzept in Jiangxi</w:t>
      </w:r>
    </w:p>
    <w:p>
      <w:r>
        <w:rPr>
          <w:i/>
          <w:color w:val="666666"/>
          <w:sz w:val="18"/>
        </w:rPr>
        <w:t>He T et al.  ·  Zhongguo Xue Xi Chong Bing Fang Zhi Za Zhi  ·  26.08.2026  ·  PMID 42779245</w:t>
      </w:r>
    </w:p>
    <w:p>
      <w:r>
        <w:t>Qualitative Übersicht über Schistosomiasis-Eliminationsstrategie in Jiangxi (China), beleuchtet Klimawandel, Bevölkerungsmobilität und Mensch-Tier-Umwelt-Koordination.</w:t>
      </w:r>
    </w:p>
    <w:p>
      <w:r>
        <w:rPr>
          <w:b/>
        </w:rPr>
        <w:t xml:space="preserve">Ergebnis: </w:t>
      </w:r>
      <w:r>
        <w:t>Kernaussagen: (1) Bisherige Erfolge durch Parteiführung, Intersektorialität und Schneckenhabitat-Management; (2) Neue Risiken: Klimawandel, Bevölkerungsbewegung, Viehzucht-Resurgence, Wildtier-Transmission; (3) Empfehlung: Mehrkanaliges Überwachungssystem (Mensch-Tier-Schnecke-Umwelt), Vieh- und Wildtiermanagement, Verlagerung zu Koexistenzgovernance bis 2030.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tropisch-subtropisch; Methodischer Mehrsektor-Ansatz (One Health) übertragbar, absolute Temperaturen/Anpassung nicht.</w:t>
      </w:r>
    </w:p>
    <w:p>
      <w:r>
        <w:rPr>
          <w:color w:val="5A7D3A"/>
          <w:sz w:val="18"/>
        </w:rPr>
        <w:t>https://pubmed.ncbi.nlm.nih.gov/42779245/</w:t>
      </w:r>
    </w:p>
    <w:p>
      <w:pPr>
        <w:pStyle w:val="Heading2"/>
      </w:pPr>
      <w:r>
        <w:t>Temperatur und Arbeitsunfallrisiko im US-Bergbau</w:t>
      </w:r>
    </w:p>
    <w:p>
      <w:r>
        <w:rPr>
          <w:i/>
          <w:color w:val="666666"/>
          <w:sz w:val="18"/>
        </w:rPr>
        <w:t>Kahraman MM  ·  Environ Res  ·  01.11.2026  ·  PMID 42772358</w:t>
      </w:r>
    </w:p>
    <w:p>
      <w:r>
        <w:t>Analyse der Beziehung zwischen täglicher maximaler Temperatur und Verletzungsrisiko in 9.833 US-Oberflächenminen (2005–2025) mittels Case-Crossover-Design.</w:t>
      </w:r>
    </w:p>
    <w:p>
      <w:r>
        <w:rPr>
          <w:b/>
        </w:rPr>
        <w:t xml:space="preserve">Ergebnis: </w:t>
      </w:r>
      <w:r>
        <w:t>Bei 35,0 °C (95. Perzentil) erhöhtes Verletzungsrisiko (RR 1,09, 95%-KI 1,01–1,18). Kälteeffekte waren subgruppenspezifisch, besonders bei Stürzen (RR 2,22, 95%-KI 1,71–2,89). Die 95. Perzentile-Assoziation war robust über acht von neun Spezifikationen.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gemäßigte Zone; Methodik auf Hitzestress übertragbar, Temperaturschwellen regional unterschiedlich.</w:t>
      </w:r>
    </w:p>
    <w:p>
      <w:r>
        <w:rPr>
          <w:color w:val="5A7D3A"/>
          <w:sz w:val="18"/>
        </w:rPr>
        <w:t>https://pubmed.ncbi.nlm.nih.gov/42772358/</w:t>
      </w:r>
    </w:p>
    <w:p>
      <w:pPr>
        <w:pStyle w:val="Heading2"/>
      </w:pPr>
      <w:r>
        <w:t>Barrieren und Strategien für schadstofffreie Baumaterialien</w:t>
      </w:r>
    </w:p>
    <w:p>
      <w:r>
        <w:rPr>
          <w:i/>
          <w:color w:val="666666"/>
          <w:sz w:val="18"/>
        </w:rPr>
        <w:t>Chellappa V et al.  ·  Front Public Health  ·  04.09.2026  ·  PMID 42760996</w:t>
      </w:r>
    </w:p>
    <w:p>
      <w:r>
        <w:t>Delphi-Studie mit 22 Experten zur Priorisierung von Hürden und Lösungsansätzen beim Einsatz ungiftiger Materialien in Innenarchitektur.</w:t>
      </w:r>
    </w:p>
    <w:p>
      <w:r>
        <w:rPr>
          <w:b/>
        </w:rPr>
        <w:t xml:space="preserve">Ergebnis: </w:t>
      </w:r>
      <w:r>
        <w:t>Top 5 Barrieren: Mangelndes Bewusstsein (Rang 1), begrenzte Nachfrage (2), kulturelle Widerstände (3), fehlende Kooperation (4), unzureichende Daten (5). Top 5 Strategien: Bildungskampagnen (1), Klientenschulung (2), Kooperationskultur (3), interdisziplinäre Zusammenarbeit (4), Ressourcen-Datenbanken (5).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International, Systemdesign übertragbar; Baumaterialien-Toxizität ist Planetary-Health-Thema für Kliniken und öffentliche Gebäude.</w:t>
      </w:r>
    </w:p>
    <w:p>
      <w:r>
        <w:rPr>
          <w:color w:val="5A7D3A"/>
          <w:sz w:val="18"/>
        </w:rPr>
        <w:t>https://pubmed.ncbi.nlm.nih.gov/42760996/</w:t>
      </w:r>
    </w:p>
    <w:p>
      <w:pPr>
        <w:pStyle w:val="Heading2"/>
      </w:pPr>
      <w:r>
        <w:t>Luftverschmutzung und Atemwegserkrankungen bei Kindern in Mexiko</w:t>
      </w:r>
    </w:p>
    <w:p>
      <w:r>
        <w:rPr>
          <w:i/>
          <w:color w:val="666666"/>
          <w:sz w:val="18"/>
        </w:rPr>
        <w:t>San Juan-Reyes S et al.  ·  Environ Sci Pollut Res Int  ·  17.09.2026  ·  PMID 42754785</w:t>
      </w:r>
    </w:p>
    <w:p>
      <w:r>
        <w:t>Case-Crossover-Analyse von 266 Kindern unter 5 Jahren mit Krankenhausaufnahmen wegen Atemwegserkrankungen und Luftschadstoffexpositionen (Jan–Dez 2023).</w:t>
      </w:r>
    </w:p>
    <w:p>
      <w:r>
        <w:rPr>
          <w:b/>
        </w:rPr>
        <w:t xml:space="preserve">Ergebnis: </w:t>
      </w:r>
      <w:r>
        <w:t>PM₂,₅-Exposition assoziiert mit erhöhtem Hospitalisierungsrisiko für Virruspneumonie, bakterielle Pneumonie und Asthma. CO-Exposition assoziiert mit Bronchiolitis. Heterogene Assoziationen zwischen Gemeinden, stärkste Effekte in San Mateo Atenco, Metepec und Calimaya.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Tropen; Methodik übertragbar, absolute Schadstoffschwellen und Anpassung dort anders als in Deutschland.</w:t>
      </w:r>
    </w:p>
    <w:p>
      <w:r>
        <w:rPr>
          <w:color w:val="5A7D3A"/>
          <w:sz w:val="18"/>
        </w:rPr>
        <w:t>https://pubmed.ncbi.nlm.nih.gov/42754785/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