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16.09.2026  |  6 Studien  |  klima.m-vf.de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Hitzebedingte Berufserkrankungen in den USA – state-level Trends über drei Jahrzehnte</w:t>
      </w:r>
    </w:p>
    <w:p>
      <w:r>
        <w:rPr>
          <w:i/>
          <w:color w:val="666666"/>
          <w:sz w:val="18"/>
        </w:rPr>
        <w:t>Mullins-Jaime C et al.  ·  J Safety Res  ·  06.02.2026  ·  PMID 42744515</w:t>
      </w:r>
    </w:p>
    <w:p>
      <w:r>
        <w:t>Analyse von drei Jahrzehnten US-Bundesstatistiken zu berufsbedingten Hitzeerkrankungen und -todesfällen (1992–2022) zur Identifikation geografischer Unterschiede und Temperaturmuster.</w:t>
      </w:r>
    </w:p>
    <w:p>
      <w:r>
        <w:rPr>
          <w:b/>
        </w:rPr>
        <w:t xml:space="preserve">Ergebnis: </w:t>
      </w:r>
      <w:r>
        <w:t>Sechzehn US-Bundesstaaten zeigten steigende Trends bei Hitzeerkrankungen; die Temperaturmittelwerte waren signifikant mit Erkrankungshäufigkeit und -quoten assoziiert. Texas zeigte signifikante Zunahme arbeitsbedingter Hitzetodesfälle über die Zeit mit zusätzlichen Temperaturtrends in Texas und Arizona.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Klimazone und Versorgungsstruktur weniger direkt übertragbar auf Deutschland</w:t>
      </w:r>
    </w:p>
    <w:p>
      <w:r>
        <w:rPr>
          <w:color w:val="5A7D3A"/>
          <w:sz w:val="18"/>
        </w:rPr>
        <w:t>https://pubmed.ncbi.nlm.nih.gov/42744515/</w:t>
      </w:r>
    </w:p>
    <w:p>
      <w:pPr>
        <w:pStyle w:val="Heading2"/>
      </w:pPr>
      <w:r>
        <w:t>Räumliche PM₁₀-Exposition in Urban Romania: Satelliten-, Meteorologie- und Sozialdaten</w:t>
      </w:r>
    </w:p>
    <w:p>
      <w:r>
        <w:rPr>
          <w:i/>
          <w:color w:val="666666"/>
          <w:sz w:val="18"/>
        </w:rPr>
        <w:t>Caciora T et al.  ·  Front Public Health  ·  31.08.2026  ·  PMID 42741111</w:t>
      </w:r>
    </w:p>
    <w:p>
      <w:r>
        <w:t>Untersuchung der räumlichen Verteilung von PM₁₀-Konzentrationen und Bevölkerungsexposition in einer Mittelstadt in Rumänien durch Integration von Satellitendaten, Bodenmessungen und sozioräumlichen Indikatoren.</w:t>
      </w:r>
    </w:p>
    <w:p>
      <w:r>
        <w:rPr>
          <w:b/>
        </w:rPr>
        <w:t xml:space="preserve">Ergebnis: </w:t>
      </w:r>
      <w:r>
        <w:t>Saisonale Schwankungen mit Maxima in der kalten Jahreszeit (bis 41,8 μg/m³) und Jahresdurchschnitt von etwa 20,5 μg/m³ – über WHO-Empfehlungen, aber innerhalb EU-Grenzen. Etwa 20,1 % der Bevölkerung lebt in Gebieten mit hoher Expositionsprädisposition, besonders nahe Industrie und dicht bebauten Gebieten.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Mitteleuropa, vergleichbares Klima und Gesundheitssystem zu Deutschland</w:t>
      </w:r>
    </w:p>
    <w:p>
      <w:r>
        <w:rPr>
          <w:color w:val="5A7D3A"/>
          <w:sz w:val="18"/>
        </w:rPr>
        <w:t>https://pubmed.ncbi.nlm.nih.gov/42741111/</w:t>
      </w:r>
    </w:p>
    <w:p>
      <w:pPr>
        <w:pStyle w:val="Heading2"/>
      </w:pPr>
      <w:r>
        <w:t>PM₂.₅-Gesundheits- und Wirtschaftsfolgen in Zentralchina: BenMAP-Analyse 2017–2023</w:t>
      </w:r>
    </w:p>
    <w:p>
      <w:r>
        <w:rPr>
          <w:i/>
          <w:color w:val="666666"/>
          <w:sz w:val="18"/>
        </w:rPr>
        <w:t>Liu M et al.  ·  Environ Monit Assess  ·  13.09.2026  ·  PMID 42733031</w:t>
      </w:r>
    </w:p>
    <w:p>
      <w:r>
        <w:t>Analyse der räumlich-zeitlichen Entwicklung von PM₂.₅-Verschmutzung in Zentralchina (2017–2024) mit Gesundheits- und Wirtschaftsbewertung mittels BenMAP-Modell für Henan-Provinz (2017–2023).</w:t>
      </w:r>
    </w:p>
    <w:p>
      <w:r>
        <w:rPr>
          <w:b/>
        </w:rPr>
        <w:t xml:space="preserve">Ergebnis: </w:t>
      </w:r>
      <w:r>
        <w:t>Vorzeitige Todesfälle durch PM₂.₅-Exposition in Henan in allen Ursachen insgesamt gesunken, aber mit leichtem Rebound in der späteren Phase. Räumliche Autokorrelation (Morans-I: 0,5237–0,7376, alle p&lt;0,001) zeigte signifikantes Clustering. Wirtschaftliche Verluste wurden mit Rückgang der Konzentration gemindert, aber Anstieg des statistischen Lebenswertes bremste Gewinnwachstum.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höhere Temperaturschwellen und andere Expositionsmuster; nur Methodik zum Wirtschaftsbezug übertragbar</w:t>
      </w:r>
    </w:p>
    <w:p>
      <w:r>
        <w:rPr>
          <w:color w:val="5A7D3A"/>
          <w:sz w:val="18"/>
        </w:rPr>
        <w:t>https://pubmed.ncbi.nlm.nih.gov/42733031/</w:t>
      </w:r>
    </w:p>
    <w:p>
      <w:pPr>
        <w:pStyle w:val="Heading2"/>
      </w:pPr>
      <w:r>
        <w:t>PFAS-Exposition von Kindern auf Färöer: Innen- und Staubpfade</w:t>
      </w:r>
    </w:p>
    <w:p>
      <w:r>
        <w:rPr>
          <w:i/>
          <w:color w:val="666666"/>
          <w:sz w:val="18"/>
        </w:rPr>
        <w:t>Woodward M et al.  ·  Environ Sci Technol  ·  11.08.2026  ·  PMID 42579118</w:t>
      </w:r>
    </w:p>
    <w:p>
      <w:r>
        <w:t>Neunmonatige Radon-Messungen in 2.771 Schulräumen auf Färöer mit Analyse von PFAS-Konzentrationen in Luft und Hausstaub sowie geschätzter täglicher Aufnahme (EDI) für 15-jährige Kinder.</w:t>
      </w:r>
    </w:p>
    <w:p>
      <w:r>
        <w:rPr>
          <w:b/>
        </w:rPr>
        <w:t xml:space="preserve">Ergebnis: </w:t>
      </w:r>
      <w:r>
        <w:t>Die geschätzte tägliche Aufnahme (EDI) für Kinder betrug 0,001–0,129 ng/kg Körpergewicht je nach Expositionsszenario (niedrig, mittel, hoch). Die Innenraumexposition entsprach etwa 0,2–20 % der tolerierbaren Wochenaufnahme der EFSA, während Meeressäugerkonsumtion etwa 60 % ausmachte.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vergleichbare Klimazone; aber regionales Expositionsmuster (Meeressäuger) nicht auf Deutschland übertragbar</w:t>
      </w:r>
    </w:p>
    <w:p>
      <w:r>
        <w:rPr>
          <w:color w:val="5A7D3A"/>
          <w:sz w:val="18"/>
        </w:rPr>
        <w:t>https://pubmed.ncbi.nlm.nih.gov/42579118/</w:t>
      </w:r>
    </w:p>
    <w:p>
      <w:pPr>
        <w:pStyle w:val="Heading2"/>
      </w:pPr>
      <w:r>
        <w:t>Klima-Sorge und Hoffnungslosigkeit: Emotionale Korrelate von Klimahandeln und Wohlbefinden</w:t>
      </w:r>
    </w:p>
    <w:p>
      <w:r>
        <w:rPr>
          <w:i/>
          <w:color w:val="666666"/>
          <w:sz w:val="18"/>
        </w:rPr>
        <w:t>Saalwirth C  ·  Appl Psychol Health Well Being  ·  Aug. 2026  ·  PMID 42384020</w:t>
      </w:r>
    </w:p>
    <w:p>
      <w:r>
        <w:t>Zwei Querschnittsstudien mit deutschen Erwachsenen (N=339 und N=313) zur Untersuchung, wie Klima-Angst und Klima-Hoffnungslosigkeit mit psychologischem Wohlbefinden und pro-Umweltverhalten assoziiert sind.</w:t>
      </w:r>
    </w:p>
    <w:p>
      <w:r>
        <w:rPr>
          <w:b/>
        </w:rPr>
        <w:t xml:space="preserve">Ergebnis: </w:t>
      </w:r>
      <w:r>
        <w:t>Klima-Hoffnungslosigkeit war konsistent mit geringerem emotionalem Wohlbefinden und Lebenszufriedenheit assoziiert (beide Studien p&lt;0,05), während Klima-Angst keine Assoziation mit Wohlbefinden zeigte. Klima-Angst war robust mit pro-Umweltverhalten verknüpft (d=0,25), Hoffnungslosigkeit nicht. Mikro-Hopelessness stärker zu niedrigerem Wohlbefinden, Makro-Sorge stärker zu Verhalten verknüpft.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direkte Daten von Studierenden aus zwei deutschen Bundesländern</w:t>
      </w:r>
    </w:p>
    <w:p>
      <w:r>
        <w:rPr>
          <w:color w:val="5A7D3A"/>
          <w:sz w:val="18"/>
        </w:rPr>
        <w:t>https://pubmed.ncbi.nlm.nih.gov/42384020/</w:t>
      </w:r>
    </w:p>
    <w:p>
      <w:pPr>
        <w:pStyle w:val="Heading2"/>
      </w:pPr>
      <w:r>
        <w:t>Nachhaltige Gesundheitssysteme in Weiterbildung: europäische Hausärzte-Befragung</w:t>
      </w:r>
    </w:p>
    <w:p>
      <w:r>
        <w:rPr>
          <w:i/>
          <w:color w:val="666666"/>
          <w:sz w:val="18"/>
        </w:rPr>
        <w:t>Bentounsi Z et al.  ·  Fam Pract  ·  11.06.2026  ·  PMID 42383685</w:t>
      </w:r>
    </w:p>
    <w:p>
      <w:r>
        <w:t>Querschnittsumfrage von 130 Hausärztinnen und Hausärzten sowie Ärztinnen und Ärzten in Weiterbildung aus 15 europäischen Ländern (83,8 % aus Niederlande, Türkei, UK) zu Wissensstand und Ausbildungslücken in nachhaltiger Gesundheitsversorgung.</w:t>
      </w:r>
    </w:p>
    <w:p>
      <w:r>
        <w:rPr>
          <w:b/>
        </w:rPr>
        <w:t xml:space="preserve">Ergebnis: </w:t>
      </w:r>
      <w:r>
        <w:t>64,7 % (75/116) berichteten keine bisherige Erfahrung mit nachhaltiger Gesundheitsversorgung; 72,5 % (58/80) erhielten keine entsprechende Ausbildung. Mediane Wissenspunktzahl 3/5 [IQR 2]. Höhere Werte bei unter 45-Jährigen (p&lt;0,001), weiblichen Teilnehmenden (p=0,014) und in Weiterbildung (p&lt;0,001). Fast alle stimmten zu, dass Planetary Health in Curricula gehört.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vergleichbare Gesundheitssysteme; deutschsprachige und niederländische Mehrheit</w:t>
      </w:r>
    </w:p>
    <w:p>
      <w:r>
        <w:rPr>
          <w:color w:val="5A7D3A"/>
          <w:sz w:val="18"/>
        </w:rPr>
        <w:t>https://pubmed.ncbi.nlm.nih.gov/42383685/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