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25.10.2026  |  383 Studien  |  klima.m-vf.de</w:t>
      </w:r>
    </w:p>
    <w:p>
      <w:pPr>
        <w:pStyle w:val="Heading1"/>
      </w:pPr>
      <w:r>
        <w:t>Aufgenommen am 25.10.2026</w:t>
      </w:r>
    </w:p>
    <w:p>
      <w:pPr>
        <w:pStyle w:val="Heading2"/>
      </w:pPr>
      <w:r>
        <w:t>Hitze und Luftverschmutzung in Frühen 1000 Tagen: Assoziationen mit Autismus-Screening in Kleinkindern</w:t>
      </w:r>
    </w:p>
    <w:p>
      <w:r>
        <w:rPr>
          <w:i/>
          <w:color w:val="666666"/>
          <w:sz w:val="18"/>
        </w:rPr>
        <w:t>Barbalat G et al.  ·  Environ Sci Technol  ·  15.09.2026  ·  PMID 42915390</w:t>
      </w:r>
    </w:p>
    <w:p>
      <w:r>
        <w:t>Untersuchung der Assoziation zwischen pränataler und postnataler Exposition gegenüber Temperatur und Luftschadstoffen (PM2,5, PM10, NO2) mit Autismus-Screening-Scores in 12.139 französischen Zweijährigen aus der ELFE-Kohorte.</w:t>
      </w:r>
    </w:p>
    <w:p>
      <w:r>
        <w:rPr>
          <w:b/>
        </w:rPr>
        <w:t xml:space="preserve">Ergebnis: </w:t>
      </w:r>
      <w:r>
        <w:t>Nächtliche Hitzeexposition im dritten Trimenon war mit erhöhten Autism-Scores assoziiert, auch nach Adjustierung für Feinstaub. Postnatale Effekte waren geschlechtsspezifisch: Nächtliche Hitze und erhöhte PM2,5/PM10-Exposition (Monate 2–11,5) führten zu höheren Scores bei Jungen, aber nicht Mädchen. Hitze zeigte stärkere Assoziationen als Luftverschmutzung.</w:t>
      </w:r>
    </w:p>
    <w:p>
      <w:r>
        <w:rPr>
          <w:b/>
          <w:sz w:val="19"/>
        </w:rPr>
        <w:t xml:space="preserve">Übertragbarkeit: </w:t>
      </w:r>
      <w:r>
        <w:rPr>
          <w:sz w:val="19"/>
        </w:rPr>
        <w:t>Frankreich, mitteleuropäisches Klima und Versorgungssystem, direkt übertragbar</w:t>
      </w:r>
    </w:p>
    <w:p>
      <w:r>
        <w:rPr>
          <w:color w:val="5A7D3A"/>
          <w:sz w:val="18"/>
        </w:rPr>
        <w:t>https://pubmed.ncbi.nlm.nih.gov/42915390/</w:t>
      </w:r>
    </w:p>
    <w:p>
      <w:pPr>
        <w:pStyle w:val="Heading2"/>
      </w:pPr>
      <w:r>
        <w:t>Hitzedefinitionen in Temperatur-Mortalitäts-Studien: Harmonisierungsrahmen</w:t>
      </w:r>
    </w:p>
    <w:p>
      <w:r>
        <w:rPr>
          <w:i/>
          <w:color w:val="666666"/>
          <w:sz w:val="18"/>
        </w:rPr>
        <w:t>Tobías A et al.  ·  Curr Environ Health Rep  ·  23.10.2026  ·  PMID 42909738</w:t>
      </w:r>
    </w:p>
    <w:p>
      <w:r>
        <w:t>Systematische Übersichtsarbeit zu Definitionen von Hitzeexposition (Schwellwerte und Referenztemperaturen) in Zeit-Reihen- und Fall-Crossover-Studien zur Hitzesterblichkeit.</w:t>
      </w:r>
    </w:p>
    <w:p>
      <w:r>
        <w:rPr>
          <w:b/>
        </w:rPr>
        <w:t xml:space="preserve">Ergebnis: </w:t>
      </w:r>
      <w:r>
        <w:t>Große Variation in Hitzeschwellwerten und Referenztemperaturen zwischen Studien, was Vergleichbarkeit erschwert. Fallstudie Spanien: Minimum-Mortality-Temperaturen-Ansatz (MMT) erfasst Gesamthitzesterblichkeit und moderate/extreme Hitze; Perzentil-basierte Ansätze erfassen vermeidbare übermäßige Hitzesterblichkeit. Explizite Berichterstattung dieser Komponenten verbessert Interpretation für Public-Health-Maßnahmen.</w:t>
      </w:r>
    </w:p>
    <w:p>
      <w:r>
        <w:rPr>
          <w:b/>
          <w:sz w:val="19"/>
        </w:rPr>
        <w:t xml:space="preserve">Übertragbarkeit: </w:t>
      </w:r>
      <w:r>
        <w:rPr>
          <w:sz w:val="19"/>
        </w:rPr>
        <w:t>Südeuropa mit anwendbaren Methoden; Harmonisierung relevant für Deutschland</w:t>
      </w:r>
    </w:p>
    <w:p>
      <w:r>
        <w:rPr>
          <w:color w:val="5A7D3A"/>
          <w:sz w:val="18"/>
        </w:rPr>
        <w:t>https://pubmed.ncbi.nlm.nih.gov/42909738/</w:t>
      </w:r>
    </w:p>
    <w:p>
      <w:pPr>
        <w:pStyle w:val="Heading2"/>
      </w:pPr>
      <w:r>
        <w:t>Berufliche Hitzeexposition in Ländern mit niedrigem/mittlerem Einkommen: Forschungstrends</w:t>
      </w:r>
    </w:p>
    <w:p>
      <w:r>
        <w:rPr>
          <w:i/>
          <w:color w:val="666666"/>
          <w:sz w:val="18"/>
        </w:rPr>
        <w:t>Wiskel T et al.  ·  Curr Environ Health Rep  ·  21.10.2026  ·  PMID 42905195</w:t>
      </w:r>
    </w:p>
    <w:p>
      <w:r>
        <w:t>Systematisches Mapping-Review von 210 Publikationen zu Hitzeauswirkungen auf Beschäftigte in Ländern mit niedrigem und mittlerem Einkommen (LMIC), hauptsächlich Südasien, mit Identifikation von Forschungslücken und fehlenden Interventionen.</w:t>
      </w:r>
    </w:p>
    <w:p>
      <w:r>
        <w:rPr>
          <w:b/>
        </w:rPr>
        <w:t xml:space="preserve">Ergebnis: </w:t>
      </w:r>
      <w:r>
        <w:t>65% der Studien aus Länder mit niedrigem-mittlerem Einkommen, 40% aus Südasien, 30% aus Indien, 16% Iran, 9% China. 36% Manufacturing, 33% Landwirtschaft. WBGT-Werte durchschnittlich 17,1–38,5°C (Maximum 54,4°C). Hauptoutcomes: kardiovaskuläre Reaktionen (50%), Körpertemperatur (43%), Hitzeerscheinungen (35%). Nur 9% aller Berichte mit Interventionen zur Arbeiterschutz. Methodische Lücken: 39% ohne Frauen, nur 10% mit Migrantenstatus.</w:t>
      </w:r>
    </w:p>
    <w:p>
      <w:r>
        <w:rPr>
          <w:b/>
          <w:sz w:val="19"/>
        </w:rPr>
        <w:t xml:space="preserve">Übertragbarkeit: </w:t>
      </w:r>
      <w:r>
        <w:rPr>
          <w:sz w:val="19"/>
        </w:rPr>
        <w:t>Tropen/Subtropen - methodisch übertragbar; Temperaturanpassung nicht direkt auf Deutschland</w:t>
      </w:r>
    </w:p>
    <w:p>
      <w:r>
        <w:rPr>
          <w:color w:val="5A7D3A"/>
          <w:sz w:val="18"/>
        </w:rPr>
        <w:t>https://pubmed.ncbi.nlm.nih.gov/42905195/</w:t>
      </w:r>
    </w:p>
    <w:p>
      <w:pPr>
        <w:pStyle w:val="Heading2"/>
      </w:pPr>
      <w:r>
        <w:t>Arboviren in Europa: Klimawandel ermöglicht Mückenvektoren in gemäßigten Zonen</w:t>
      </w:r>
    </w:p>
    <w:p>
      <w:r>
        <w:rPr>
          <w:i/>
          <w:color w:val="666666"/>
          <w:sz w:val="18"/>
        </w:rPr>
        <w:t>Cancela Costa A et al.  ·  Rev Med Suisse  ·  07.10.2026  ·  PMID 42902967</w:t>
      </w:r>
    </w:p>
    <w:p>
      <w:r>
        <w:t>Klinisches Review zum Auftreten von Dengue, Chikungunya und West-Nil-Virus in Europa durch klimabedingte Etablierung von Aedes- und Culex-Mücken als Vektoren.</w:t>
      </w:r>
    </w:p>
    <w:p>
      <w:r>
        <w:rPr>
          <w:b/>
        </w:rPr>
        <w:t xml:space="preserve">Ergebnis: </w:t>
      </w:r>
      <w:r>
        <w:t>Erstmals lokale Transmission von Dengue, Chikungunya und West-Nil-Virus in Europa dokumentiert. Kliniker sollten diese Infektionen in der Differenzialdiagnose fieberhafter Erkrankungen berücksichtigen, auch ohne Reiseanamnese. Klimawandel, Bevölkerungsbewegungen und internationaler Handel fördern die Ausbreitung tropischer Arboviren in gemäßigte Regionen.</w:t>
      </w:r>
    </w:p>
    <w:p>
      <w:r>
        <w:rPr>
          <w:b/>
          <w:sz w:val="19"/>
        </w:rPr>
        <w:t xml:space="preserve">Übertragbarkeit: </w:t>
      </w:r>
      <w:r>
        <w:rPr>
          <w:sz w:val="19"/>
        </w:rPr>
        <w:t>Europa direkt betroffen, klimabedingte Vektorexpansion, hochrelevant für Deutschland</w:t>
      </w:r>
    </w:p>
    <w:p>
      <w:r>
        <w:rPr>
          <w:color w:val="5A7D3A"/>
          <w:sz w:val="18"/>
        </w:rPr>
        <w:t>https://pubmed.ncbi.nlm.nih.gov/42902967/</w:t>
      </w:r>
    </w:p>
    <w:p>
      <w:pPr>
        <w:pStyle w:val="Heading2"/>
      </w:pPr>
      <w:r>
        <w:t>Luftverschmutzung und Temperatur: Gemeinsame Effekte auf Blutzucker in europäischen Kohorten</w:t>
      </w:r>
    </w:p>
    <w:p>
      <w:r>
        <w:rPr>
          <w:i/>
          <w:color w:val="666666"/>
          <w:sz w:val="18"/>
        </w:rPr>
        <w:t>Jeong A et al.  ·  Environ Int  ·  23.09.2026  ·  PMID 42784881</w:t>
      </w:r>
    </w:p>
    <w:p>
      <w:r>
        <w:t>Analyse der gemeinsamen Effekte von Luftverschmutzung (PM10) und Temperatur auf Nüchternblutzucker (HbA1c) in 33.989 Messungen von 21.259 Teilnehmern aus neun europäischen Kohorten.</w:t>
      </w:r>
    </w:p>
    <w:p>
      <w:r>
        <w:rPr>
          <w:b/>
        </w:rPr>
        <w:t xml:space="preserve">Ergebnis: </w:t>
      </w:r>
      <w:r>
        <w:t>Elastic-Net-Regression identifizierte PM10 und Temperaturvariabilität als stabile Prädiktoren für erhöhte HbA1c. Ein Szenario mit verbesserter Luftqualität führte zu gesunkenen HbA1c-Werten; klimabedingte Temperaturerhöhung führte zu erhöhten HbA1c-Werten. Die positiven Effekte von Luftqualitätsverbesserungen gewinnen unter Klimawandelbedingungen an Bedeutung, besonders bei Nichtrauchern.</w:t>
      </w:r>
    </w:p>
    <w:p>
      <w:r>
        <w:rPr>
          <w:b/>
          <w:sz w:val="19"/>
        </w:rPr>
        <w:t xml:space="preserve">Übertragbarkeit: </w:t>
      </w:r>
      <w:r>
        <w:rPr>
          <w:sz w:val="19"/>
        </w:rPr>
        <w:t>Europäische Kohorten mit Luftdaten, gemäßigte Klimazonen, direkt übertragbar</w:t>
      </w:r>
    </w:p>
    <w:p>
      <w:r>
        <w:rPr>
          <w:color w:val="5A7D3A"/>
          <w:sz w:val="18"/>
        </w:rPr>
        <w:t>https://pubmed.ncbi.nlm.nih.gov/42784881/</w:t>
      </w:r>
    </w:p>
    <w:p>
      <w:pPr>
        <w:pStyle w:val="Heading2"/>
      </w:pPr>
      <w:r>
        <w:t>Heiße Getränke und Speiseröhrenkrebs: Prospektive Studie in UK-Erwachsenen</w:t>
      </w:r>
    </w:p>
    <w:p>
      <w:r>
        <w:rPr>
          <w:i/>
          <w:color w:val="666666"/>
          <w:sz w:val="18"/>
        </w:rPr>
        <w:t>Papier K et al.  ·  Int J Cancer  ·  15.12.2026  ·  PMID 42710538</w:t>
      </w:r>
    </w:p>
    <w:p>
      <w:r>
        <w:t>Prospektive Analyse von 977.282 UK-Teilnehmern zur Assoziation zwischen Trinktemperatur und Häufigkeit heißer Getränke mit Speiseröhrenkrebsrisiko über durchschnittlich 11–14 Jahre Follow-up.</w:t>
      </w:r>
    </w:p>
    <w:p>
      <w:r>
        <w:rPr>
          <w:b/>
        </w:rPr>
        <w:t xml:space="preserve">Ergebnis: </w:t>
      </w:r>
      <w:r>
        <w:t>2.348 Speiseröhrenkrebsfälle (1.045 Plattenepithel-Ca., 1.303 Adenokarzinom). "Sehr heiße" vs. "warme" Getränke: 3-fach erhöhtes Plattenepithel-Ca.-Risiko (RR=3,17; 95%-KI: 2,49–4,03), kein Effekt auf Adenokarzinom. Täglich ≥6 vs. &lt;6 heiße Getränke: 71% erhöhtes Plattenepithel-Ca.-Risiko (RR=1,71; 1,51–1,94). Geschätzt 14% der Plattenepithel-Karzinome wären vermeidbar durch Temperaturreduktion.</w:t>
      </w:r>
    </w:p>
    <w:p>
      <w:r>
        <w:rPr>
          <w:b/>
          <w:sz w:val="19"/>
        </w:rPr>
        <w:t xml:space="preserve">Übertragbarkeit: </w:t>
      </w:r>
      <w:r>
        <w:rPr>
          <w:sz w:val="19"/>
        </w:rPr>
        <w:t>Großbritannien, Bevölkerung vergleichbar, gemäßigte Klimazone</w:t>
      </w:r>
    </w:p>
    <w:p>
      <w:r>
        <w:rPr>
          <w:color w:val="5A7D3A"/>
          <w:sz w:val="18"/>
        </w:rPr>
        <w:t>https://pubmed.ncbi.nlm.nih.gov/42710538/</w:t>
      </w:r>
    </w:p>
    <w:p>
      <w:pPr>
        <w:pStyle w:val="Heading1"/>
      </w:pPr>
      <w:r>
        <w:t>Aufgenommen am 24.10.2026</w:t>
      </w:r>
    </w:p>
    <w:p>
      <w:pPr>
        <w:pStyle w:val="Heading2"/>
      </w:pPr>
      <w:r>
        <w:t>Waldbrände, Nahrungsunsicherheit und sexuelle Gesundheit von Jugendlichen in der kanadischen Arktis</w:t>
      </w:r>
    </w:p>
    <w:p>
      <w:r>
        <w:rPr>
          <w:i/>
          <w:color w:val="666666"/>
          <w:sz w:val="18"/>
        </w:rPr>
        <w:t>Logie CH et al.  ·  J Int Assoc Provid AIDS Care  ·  22.10.2026  ·  PMID 42912890</w:t>
      </w:r>
    </w:p>
    <w:p>
      <w:r>
        <w:t>Strukturgleichungsmodell-Analyse bei 290 Jugendlichen (13–18 Jahre) in 12 Gemeinden der Nordwest-Territorien zur indirekten Assoziation zwischen Waldbrand-Traumaexposition, Nahrungsunsicherheit, Selbstwertgefühl und Kondomgebrauchssicherheit.</w:t>
      </w:r>
    </w:p>
    <w:p>
      <w:r>
        <w:rPr>
          <w:b/>
        </w:rPr>
        <w:t xml:space="preserve">Ergebnis: </w:t>
      </w:r>
      <w:r>
        <w:t>Höhere Waldbrand-Traumaexposition war mit erhöhter Nahrungsunsicherheit und niedrigerem Selbstwertgefühl assoziiert. Waldbrand-Exposition und Nahrungsunsicherheit waren indirekt (über Selbstwertgefühl) mit niedrigerer Kondomgebrauchssicherheit assoziiert. Direkter Effekt nicht signifikant.</w:t>
      </w:r>
    </w:p>
    <w:p>
      <w:r>
        <w:rPr>
          <w:b/>
          <w:sz w:val="19"/>
        </w:rPr>
        <w:t xml:space="preserve">Übertragbarkeit: </w:t>
      </w:r>
      <w:r>
        <w:rPr>
          <w:sz w:val="19"/>
        </w:rPr>
        <w:t>Kanada, gemäßigte/arktische Klimazone; Methode der Intersektionalität und sozialen Determinanten übertragbar</w:t>
      </w:r>
    </w:p>
    <w:p>
      <w:r>
        <w:rPr>
          <w:color w:val="5A7D3A"/>
          <w:sz w:val="18"/>
        </w:rPr>
        <w:t>https://pubmed.ncbi.nlm.nih.gov/42912890/</w:t>
      </w:r>
    </w:p>
    <w:p>
      <w:pPr>
        <w:pStyle w:val="Heading2"/>
      </w:pPr>
      <w:r>
        <w:t>Wissenslücken zu Hitzeerkrankungen bei Schülern trotz hoher Awareness</w:t>
      </w:r>
    </w:p>
    <w:p>
      <w:r>
        <w:rPr>
          <w:i/>
          <w:color w:val="666666"/>
          <w:sz w:val="18"/>
        </w:rPr>
        <w:t>Matsuo H et al.  ·  Int J Biometeorol  ·  22.10.2026  ·  PMID 42911282</w:t>
      </w:r>
    </w:p>
    <w:p>
      <w:r>
        <w:t>Querschnittbefragung von 1.179 japanischen Schülern (7.–10. Klasse) zur Erkennung von Hitzekrankheitstypen und Symptomen trotz bekannten Terminus.</w:t>
      </w:r>
    </w:p>
    <w:p>
      <w:r>
        <w:rPr>
          <w:b/>
        </w:rPr>
        <w:t xml:space="preserve">Ergebnis: </w:t>
      </w:r>
      <w:r>
        <w:t>Nahezu alle Schüler kannten den Begriff „exertional heat illness</w:t>
      </w:r>
    </w:p>
    <w:p>
      <w:r>
        <w:rPr>
          <w:b/>
          <w:sz w:val="19"/>
        </w:rPr>
        <w:t xml:space="preserve">Übertragbarkeit: </w:t>
      </w:r>
      <w:r>
        <w:rPr>
          <w:sz w:val="19"/>
        </w:rPr>
        <w:t>Ergebnis besagt aber dass nur 1,9% der Mittelschüler (3,1% Gymnasiasten) Hitzesynkope korrekt den Symptomen zuordneten; bei Hitzeerschöpfung 4,1% (7,9%); bei Hitzschlag 0,4% (0,5%). Klare Diskrepanz zwischen wahrgenommenem und tatsächlichem Wissen.Vulnerabilitätsgruppen und Prävention, schulische Gesundheitskommunikation relevant für Deutschland</w:t>
      </w:r>
    </w:p>
    <w:p>
      <w:r>
        <w:rPr>
          <w:color w:val="5A7D3A"/>
          <w:sz w:val="18"/>
        </w:rPr>
        <w:t>https://pubmed.ncbi.nlm.nih.gov/42911282/</w:t>
      </w:r>
    </w:p>
    <w:p>
      <w:pPr>
        <w:pStyle w:val="Heading2"/>
      </w:pPr>
      <w:r>
        <w:t>Extreme Hitze und Demenzrisiko: Soziale Ungleichheit verstärkt Effekt</w:t>
      </w:r>
    </w:p>
    <w:p>
      <w:r>
        <w:rPr>
          <w:i/>
          <w:color w:val="666666"/>
          <w:sz w:val="18"/>
        </w:rPr>
        <w:t>Choi EY et al.  ·  Alzheimers Dement  ·  Okt. 2026  ·  PMID 42910638</w:t>
      </w:r>
    </w:p>
    <w:p>
      <w:r>
        <w:t>20-jähriges Kohorten-Follow-up mit 28.512 älteren US-Amerikanern zur Assoziation zwischen Außentemperatur und Demenzinzidenz, stratifiziert nach sozioökonomischem Status.</w:t>
      </w:r>
    </w:p>
    <w:p>
      <w:r>
        <w:rPr>
          <w:b/>
        </w:rPr>
        <w:t xml:space="preserve">Ergebnis: </w:t>
      </w:r>
      <w:r>
        <w:t>Personen mit hoher Belastung durch Extremhitze (≥7,2 Tage/Jahr ≥39,4°C) hatten 23% erhöhtes Demenzrisiko (95% KI: 1,08–1,40) versus niedriger Belastung. In sozioökonomisch benachteiligten Gegenden und Gebieten mit niedriger Klimaanlageausstattung waren Assoziationen deutlich stärker.</w:t>
      </w:r>
    </w:p>
    <w:p>
      <w:r>
        <w:rPr>
          <w:b/>
          <w:sz w:val="19"/>
        </w:rPr>
        <w:t xml:space="preserve">Übertragbarkeit: </w:t>
      </w:r>
      <w:r>
        <w:rPr>
          <w:sz w:val="19"/>
        </w:rPr>
        <w:t>Methodisch übertragbar; Schwellwerte für US-Südwest-Klima nicht direkt, aber Prinzip der Vulnerabilität relevant</w:t>
      </w:r>
    </w:p>
    <w:p>
      <w:r>
        <w:rPr>
          <w:color w:val="5A7D3A"/>
          <w:sz w:val="18"/>
        </w:rPr>
        <w:t>https://pubmed.ncbi.nlm.nih.gov/42910638/</w:t>
      </w:r>
    </w:p>
    <w:p>
      <w:pPr>
        <w:pStyle w:val="Heading2"/>
      </w:pPr>
      <w:r>
        <w:t>Nächtliche Hitze erhöht Notfallhospitalisierungen bei Herzstillstand</w:t>
      </w:r>
    </w:p>
    <w:p>
      <w:r>
        <w:rPr>
          <w:i/>
          <w:color w:val="666666"/>
          <w:sz w:val="18"/>
        </w:rPr>
        <w:t>Nishimura H et al.  ·  Int J Biometeorol  ·  23.10.2026  ·  PMID 42909662</w:t>
      </w:r>
    </w:p>
    <w:p>
      <w:r>
        <w:t>Japanische Fall-Kontroll-Studie mit 135.898 Hospitalisierungen für außerklinischen Herzstillstand (2011–2021) zur Assoziation mit nächtlicher Hitzeexposition (&gt;92,5. Perzentil der Mindesttemperatur).</w:t>
      </w:r>
    </w:p>
    <w:p>
      <w:r>
        <w:rPr>
          <w:b/>
        </w:rPr>
        <w:t xml:space="preserve">Ergebnis: </w:t>
      </w:r>
      <w:r>
        <w:t>Nächtliche Hitzeexposition war mit erhöhten Notfallhospitalisierungen assoziiert (RR: 1,090, 95% KI: 1,047–1,135). Höhere Risiken bei Personen ≥75 Jahren und Frauen in nördlichen Regionen (RR: 1,295 und 1,352). Niedrigere Klimaanlageausstattung verstärkte das Risiko bei Frauen und älteren Personen.</w:t>
      </w:r>
    </w:p>
    <w:p>
      <w:r>
        <w:rPr>
          <w:b/>
          <w:sz w:val="19"/>
        </w:rPr>
        <w:t xml:space="preserve">Übertragbarkeit: </w:t>
      </w:r>
      <w:r>
        <w:rPr>
          <w:sz w:val="19"/>
        </w:rPr>
        <w:t>Gemäßigte Klimazone, relevante Risikogruppen; nächtliche Hitze zunehmend auch in Mitteleuropa</w:t>
      </w:r>
    </w:p>
    <w:p>
      <w:r>
        <w:rPr>
          <w:color w:val="5A7D3A"/>
          <w:sz w:val="18"/>
        </w:rPr>
        <w:t>https://pubmed.ncbi.nlm.nih.gov/42909662/</w:t>
      </w:r>
    </w:p>
    <w:p>
      <w:pPr>
        <w:pStyle w:val="Heading2"/>
      </w:pPr>
      <w:r>
        <w:t>Umweltfaktoren und psychische Gesundheit in Deutschland</w:t>
      </w:r>
    </w:p>
    <w:p>
      <w:r>
        <w:rPr>
          <w:i/>
          <w:color w:val="666666"/>
          <w:sz w:val="18"/>
        </w:rPr>
        <w:t>Wang Y et al.  ·  Environ Int  ·  27.09.2026  ·  PMID 42810139</w:t>
      </w:r>
    </w:p>
    <w:p>
      <w:r>
        <w:t>Langzeitstudie an über 70.000 deutschen Erwachsenen, die Zusammenhänge zwischen Luftverschmutzung, Temperatur, Grünflächen und depressiven sowie Angststörungen untersuchte.</w:t>
      </w:r>
    </w:p>
    <w:p>
      <w:r>
        <w:rPr>
          <w:b/>
        </w:rPr>
        <w:t xml:space="preserve">Ergebnis: </w:t>
      </w:r>
      <w:r>
        <w:t>Höhere Lufttemperatur pro Interquartilsabstand war mit erhöhten depressiven Symptomscores assoziiert (β = 0,07, 95% KI: 0,03–0,12), ebenso NO₂-Exposition (β = 0,08, 95% KI: 0,03–0,14). Höhere Grünflächenanteil und Niederschlag waren mit niedrigeren depressiven Symptomen assoziiert. Stärkere Assoziationen bei Frauen, jüngeren Erwachsenen, Menschen mit Adipositas und in urbanen Gebieten.</w:t>
      </w:r>
    </w:p>
    <w:p>
      <w:r>
        <w:rPr>
          <w:b/>
          <w:sz w:val="19"/>
        </w:rPr>
        <w:t xml:space="preserve">Übertragbarkeit: </w:t>
      </w:r>
      <w:r>
        <w:rPr>
          <w:sz w:val="19"/>
        </w:rPr>
        <w:t>Deutsche Sterbedaten und Versorgungsstruktur, gemäßigte Klimazone, großer Stichprobenumfang</w:t>
      </w:r>
    </w:p>
    <w:p>
      <w:r>
        <w:rPr>
          <w:color w:val="5A7D3A"/>
          <w:sz w:val="18"/>
        </w:rPr>
        <w:t>https://pubmed.ncbi.nlm.nih.gov/42810139/</w:t>
      </w:r>
    </w:p>
    <w:p>
      <w:pPr>
        <w:pStyle w:val="Heading1"/>
      </w:pPr>
      <w:r>
        <w:t>Aufgenommen am 23.10.2026</w:t>
      </w:r>
    </w:p>
    <w:p>
      <w:pPr>
        <w:pStyle w:val="Heading2"/>
      </w:pPr>
      <w:r>
        <w:t>PM₂,₅-Exposition erhöht Sterblichkeit bei älteren Menschen in Beijing</w:t>
      </w:r>
    </w:p>
    <w:p>
      <w:r>
        <w:rPr>
          <w:i/>
          <w:color w:val="666666"/>
          <w:sz w:val="18"/>
        </w:rPr>
        <w:t>Wan YH et al.  ·  Zhonghua Liu Xing Bing Xue Za Zhi  ·  10.10.2026  ·  PMID 42907183</w:t>
      </w:r>
    </w:p>
    <w:p>
      <w:r>
        <w:t>Kohortenstudie mit 3.472 älteren Stadtbewohnern in Beijing analysierte Assoziationen zwischen Feinstaubexposition (2010–2014) und all-cause sowie kardiovaskulärer Mortalität mit Analyse von Interaktionen mit körperlicher Aktivität.</w:t>
      </w:r>
    </w:p>
    <w:p>
      <w:r>
        <w:rPr>
          <w:b/>
        </w:rPr>
        <w:t xml:space="preserve">Ergebnis: </w:t>
      </w:r>
      <w:r>
        <w:t>Jede 1 μg/m³ PM₂,₅-Steigerung erhöhte All-cause-Mortalitätsrisiko um 5,3 % (HR=1,053; 95%-KI: 1,026–1,080) und kardiovaskuläres Risiko um 4,6 % (HR=1,046; 95%-KI: 1,001–1,100). Ohne Außenaktivität: 8,7 % Risikoerhöhung; mit regelmäßiger Aktivität: nur 2,6 % Erhöhung. Mittlere PM₂,₅-Konzentration war 79,80 μg/m³ (WHO-Grenzwert: 35 μg/m³).</w:t>
      </w:r>
    </w:p>
    <w:p>
      <w:r>
        <w:rPr>
          <w:b/>
          <w:sz w:val="19"/>
        </w:rPr>
        <w:t xml:space="preserve">Übertragbarkeit: </w:t>
      </w:r>
      <w:r>
        <w:rPr>
          <w:sz w:val="19"/>
        </w:rPr>
        <w:t>China, gemäßigte Zone; Dosis-Wirkungs-Beziehung erkennbar, absolute Schwellenwerte nicht auf Deutschland übertragbar</w:t>
      </w:r>
    </w:p>
    <w:p>
      <w:r>
        <w:rPr>
          <w:color w:val="5A7D3A"/>
          <w:sz w:val="18"/>
        </w:rPr>
        <w:t>https://pubmed.ncbi.nlm.nih.gov/42907183/</w:t>
      </w:r>
    </w:p>
    <w:p>
      <w:pPr>
        <w:pStyle w:val="Heading2"/>
      </w:pPr>
      <w:r>
        <w:t>Klimastress und Infektionen gefährden Arbeiter in Niedriglohnländern</w:t>
      </w:r>
    </w:p>
    <w:p>
      <w:r>
        <w:rPr>
          <w:i/>
          <w:color w:val="666666"/>
          <w:sz w:val="18"/>
        </w:rPr>
        <w:t>Odud MA et al.  ·  PLoS One  ·  21.10.2026  ·  PMID 42905761</w:t>
      </w:r>
    </w:p>
    <w:p>
      <w:r>
        <w:t>Scoping Review (PRISMA-ScR; 10 von 612 geprüften Quellen) untersuchte Konvergenz von klimabezogenen und infektionsbezogenen Stressoren und deren Auswirkungen auf Arbeiter in Hochrisikoberufen (2020–2025).</w:t>
      </w:r>
    </w:p>
    <w:p>
      <w:r>
        <w:rPr>
          <w:b/>
        </w:rPr>
        <w:t xml:space="preserve">Ergebnis: </w:t>
      </w:r>
      <w:r>
        <w:t>Klima- und Infektionsstressoren verstärken sich gegenseitig und erhöhen physische, umweltbezogene und psychosoziale Belastungen. Besonders gefährdet: Migrantenarbeiter, informal Beschäftigte, Niedrigeinkommensgruppen, Ältere, Frauen und Saisonarbeiter. Nur 9 % der Studien beinhalteten Schutzmaßnahmen; fragmentierte Politikansätze.</w:t>
      </w:r>
    </w:p>
    <w:p>
      <w:r>
        <w:rPr>
          <w:b/>
          <w:sz w:val="19"/>
        </w:rPr>
        <w:t xml:space="preserve">Übertragbarkeit: </w:t>
      </w:r>
      <w:r>
        <w:rPr>
          <w:sz w:val="19"/>
        </w:rPr>
        <w:t>Globale Perspektive; Vulnerabilitätsmuster und integrierte Ansätze methodisch übertragbar auf Deutschland</w:t>
      </w:r>
    </w:p>
    <w:p>
      <w:r>
        <w:rPr>
          <w:color w:val="5A7D3A"/>
          <w:sz w:val="18"/>
        </w:rPr>
        <w:t>https://pubmed.ncbi.nlm.nih.gov/42905761/</w:t>
      </w:r>
    </w:p>
    <w:p>
      <w:pPr>
        <w:pStyle w:val="Heading2"/>
      </w:pPr>
      <w:r>
        <w:t>Innenraumhitze erhöht Mortalitätsrisiko stärker als Außentemperatur</w:t>
      </w:r>
    </w:p>
    <w:p>
      <w:r>
        <w:rPr>
          <w:i/>
          <w:color w:val="666666"/>
          <w:sz w:val="18"/>
        </w:rPr>
        <w:t>Ibbetson A et al.  ·  Risk Anal  ·  Nov. 2026  ·  PMID 42904486</w:t>
      </w:r>
    </w:p>
    <w:p>
      <w:r>
        <w:t>Mathematische Modellierungsstudie entwickelt neuartigen Ansatz zur Abbildung von Innenraumhitze-Mortalitäts-Beziehungen auf Basis epidemiologischer Außentemperatur-Daten unter Berücksichtigung der Gebäudedämmung.</w:t>
      </w:r>
    </w:p>
    <w:p>
      <w:r>
        <w:rPr>
          <w:b/>
        </w:rPr>
        <w:t xml:space="preserve">Ergebnis: </w:t>
      </w:r>
      <w:r>
        <w:t>Modell zeigt, dass Änderungen der Innenraumtemperatur stärkere Mortalitätsveränderungen bewirken als gleiche Außentemperaturänderungen. Dies liegt an der modifizierenden Wirkung von Gebäuden auf die Temperaturexposition und hat Implikationen für die Bewertung von Gesundheitseffekten bei Innenraum-Hitzeexposition.</w:t>
      </w:r>
    </w:p>
    <w:p>
      <w:r>
        <w:rPr>
          <w:b/>
          <w:sz w:val="19"/>
        </w:rPr>
        <w:t xml:space="preserve">Übertragbarkeit: </w:t>
      </w:r>
      <w:r>
        <w:rPr>
          <w:sz w:val="19"/>
        </w:rPr>
        <w:t>Großbritannien; theoretischer Rahmen universal, gebäudespezifische Parameter müssen für Deutschland angepasst werden</w:t>
      </w:r>
    </w:p>
    <w:p>
      <w:r>
        <w:rPr>
          <w:color w:val="5A7D3A"/>
          <w:sz w:val="18"/>
        </w:rPr>
        <w:t>https://pubmed.ncbi.nlm.nih.gov/42904486/</w:t>
      </w:r>
    </w:p>
    <w:p>
      <w:pPr>
        <w:pStyle w:val="Heading2"/>
      </w:pPr>
      <w:r>
        <w:t>Extremtemperaturen erhöhen Arbeitsunfälle in lateinamerikanischer Metropole</w:t>
      </w:r>
    </w:p>
    <w:p>
      <w:r>
        <w:rPr>
          <w:i/>
          <w:color w:val="666666"/>
          <w:sz w:val="18"/>
        </w:rPr>
        <w:t>Vilasau R et al.  ·  Environ Res  ·  15.11.2026  ·  PMID 42838200</w:t>
      </w:r>
    </w:p>
    <w:p>
      <w:r>
        <w:t>Fallüberkreuzungs-Studie mit 603.676 Arbeitsunfällen in Santiago untersuchte Hitzewellen- und Kälteeffekte auf Verletzungsrisiken in verschiedenen Wirtschaftssektoren (2012–2019).</w:t>
      </w:r>
    </w:p>
    <w:p>
      <w:r>
        <w:rPr>
          <w:b/>
        </w:rPr>
        <w:t xml:space="preserve">Ergebnis: </w:t>
      </w:r>
      <w:r>
        <w:t>Extreme Hitze erhöhte das Verletzungsrisiko im Hotel-Sektor (RR=1,36; 95%-KI: 1,09–1,70) und Verkehr (RR=1,25; 95%-KI: 1,02–1,53). Extreme Kälte erhöhte Risiko in Industrie (RR=1,18; 95%-KI: 1,06–1,32) und Bau (RR=1,12; 95%-KI: 1,02–1,24). Insgesamt 5.542 Verletzungen waren auf nicht-optimale Temperaturen zurückzuführen.</w:t>
      </w:r>
    </w:p>
    <w:p>
      <w:r>
        <w:rPr>
          <w:b/>
          <w:sz w:val="19"/>
        </w:rPr>
        <w:t xml:space="preserve">Übertragbarkeit: </w:t>
      </w:r>
      <w:r>
        <w:rPr>
          <w:sz w:val="19"/>
        </w:rPr>
        <w:t>Südamerika, temperate Zone; Methodik und Sektor-Differenzierung übertragbar, absolute Schwellenwerte nicht</w:t>
      </w:r>
    </w:p>
    <w:p>
      <w:r>
        <w:rPr>
          <w:color w:val="5A7D3A"/>
          <w:sz w:val="18"/>
        </w:rPr>
        <w:t>https://pubmed.ncbi.nlm.nih.gov/42838200/</w:t>
      </w:r>
    </w:p>
    <w:p>
      <w:pPr>
        <w:pStyle w:val="Heading2"/>
      </w:pPr>
      <w:r>
        <w:t>Wüstenstaub und Hitze verschlechtern Lungenfunktion bei Kindern mit Asthma</w:t>
      </w:r>
    </w:p>
    <w:p>
      <w:r>
        <w:rPr>
          <w:i/>
          <w:color w:val="666666"/>
          <w:sz w:val="18"/>
        </w:rPr>
        <w:t>Qian Y et al.  ·  Environ Res  ·  15.11.2026  ·  PMID 42838195</w:t>
      </w:r>
    </w:p>
    <w:p>
      <w:r>
        <w:t>Sekundäranalyse untersuchte Assoziationen zwischen Wüstenstaubexposition, Temperatur und Lungenfunktion bei 135 asthmatischen Kindern in Zypern und Kreta während der Staubsaison 2019 und 2021.</w:t>
      </w:r>
    </w:p>
    <w:p>
      <w:r>
        <w:rPr>
          <w:b/>
        </w:rPr>
        <w:t xml:space="preserve">Ergebnis: </w:t>
      </w:r>
      <w:r>
        <w:t>Kumulativer Wüstenstaub war mit -3,52 mL (95%-KI: -5,90, -1,14) FEV₁-Abnahme pro Staubtag verbunden. Temperaturanstieg um 5 °C war mit -19,77 mL FEV₁-Abnahme (95%-KI: -37,91, -1,63) und -0,81 % FEV₁/FVC-Reduktion (95%-KI: -1,36, -0,25) assoziiert. Sowohl Staubexposition als auch Hitze zeigten inverse Assoziationen mit Lungenfunktionsparametern.</w:t>
      </w:r>
    </w:p>
    <w:p>
      <w:r>
        <w:rPr>
          <w:b/>
          <w:sz w:val="19"/>
        </w:rPr>
        <w:t xml:space="preserve">Übertragbarkeit: </w:t>
      </w:r>
      <w:r>
        <w:rPr>
          <w:sz w:val="19"/>
        </w:rPr>
        <w:t>Südeuropa; Klimazone und Expositionspathways relevant für Mittelmeerregion, Übertragung auf Deutschland begrenzt</w:t>
      </w:r>
    </w:p>
    <w:p>
      <w:r>
        <w:rPr>
          <w:color w:val="5A7D3A"/>
          <w:sz w:val="18"/>
        </w:rPr>
        <w:t>https://pubmed.ncbi.nlm.nih.gov/42838195/</w:t>
      </w:r>
    </w:p>
    <w:p>
      <w:pPr>
        <w:pStyle w:val="Heading1"/>
      </w:pPr>
      <w:r>
        <w:t>Aufgenommen am 22.10.2026</w:t>
      </w:r>
    </w:p>
    <w:p>
      <w:pPr>
        <w:pStyle w:val="Heading2"/>
      </w:pPr>
      <w:r>
        <w:t>Extremtemperaturen und Barrierefunktion: Mechanismen der Krankheitsentstehung</w:t>
      </w:r>
    </w:p>
    <w:p>
      <w:r>
        <w:rPr>
          <w:i/>
          <w:color w:val="666666"/>
          <w:sz w:val="18"/>
        </w:rPr>
        <w:t>Ogulur I et al.  ·  Semin Immunopathol  ·  20.10.2026  ·  PMID 42902042</w:t>
      </w:r>
    </w:p>
    <w:p>
      <w:r>
        <w:t>Narrative Übersichtsarbeit über die Mechanismen, durch die Hitze und Kälte die Epithelbarriere schädigen und über veränderte Barrierefunktion zu nichtübertragbaren Erkrankungen führen.</w:t>
      </w:r>
    </w:p>
    <w:p>
      <w:r>
        <w:rPr>
          <w:b/>
        </w:rPr>
        <w:t xml:space="preserve">Ergebnis: </w:t>
      </w:r>
      <w:r>
        <w:t>Extreme Temperaturen beeinträchtigen die Tight-Junction-Regulation, verursachen oxidativen Stress, Apoptose und Entzündung sowie Mikrobiom-Dysbiose – Effekte, die durch Luftverschmutzung, UV-Strahlung und Waldbrände verstärkt werden. Epidemiologische Evidenz zeigt Assoziationen zwischen Hitzewellen und Krankheitsexazerbationen sowie zwischen Kälteexposition und Infektions- oder Allergiereaktionen.</w:t>
      </w:r>
    </w:p>
    <w:p>
      <w:r>
        <w:rPr>
          <w:b/>
          <w:sz w:val="19"/>
        </w:rPr>
        <w:t xml:space="preserve">Übertragbarkeit: </w:t>
      </w:r>
      <w:r>
        <w:rPr>
          <w:sz w:val="19"/>
        </w:rPr>
        <w:t>Systematische Pathophysiologie, Klimazone-unabhängig; Grundlage für Verständnis europäischer Hitzefolgen</w:t>
      </w:r>
    </w:p>
    <w:p>
      <w:r>
        <w:rPr>
          <w:color w:val="5A7D3A"/>
          <w:sz w:val="18"/>
        </w:rPr>
        <w:t>https://pubmed.ncbi.nlm.nih.gov/42902042/</w:t>
      </w:r>
    </w:p>
    <w:p>
      <w:pPr>
        <w:pStyle w:val="Heading2"/>
      </w:pPr>
      <w:r>
        <w:t>Neuausrichtung der Public Health angesichts von Klimawandel und Urbanisierung</w:t>
      </w:r>
    </w:p>
    <w:p>
      <w:r>
        <w:rPr>
          <w:i/>
          <w:color w:val="666666"/>
          <w:sz w:val="18"/>
        </w:rPr>
        <w:t>Galea S  ·  Lancet Public Health  ·  Nov. 2026  ·  PMID 42901192</w:t>
      </w:r>
    </w:p>
    <w:p>
      <w:r>
        <w:t>Essay des renommierten Public-Health-Experten über fünf Megatrends – Bevölkerungsalterung, Urbanisierung, Klimawandel, verändernde Institutionenvertrauen, transformative Technologien – und fünf daraus folgende strategische Aspirationen für die Gesundheitspolitik.</w:t>
      </w:r>
    </w:p>
    <w:p>
      <w:r>
        <w:rPr>
          <w:b/>
        </w:rPr>
        <w:t xml:space="preserve">Ergebnis: </w:t>
      </w:r>
      <w:r>
        <w:t>Zentrale Befunde: Klimawandel ist neben Bevölkerungsalterung und Urbanisierung einer der drei Haupttreiber für den Wandel der Krankheitslast (Zunahme nichtübertragbarer Erkrankungen, neurologische Erkrankungen, instabilere Infektionskrankheiten). Public Health muss sich auf Prävention nichtübertragbarer Krankheiten, Gesundheitsgerechtigkeit und Krisenresilienz konzentrieren.</w:t>
      </w:r>
    </w:p>
    <w:p>
      <w:r>
        <w:rPr>
          <w:b/>
          <w:sz w:val="19"/>
        </w:rPr>
        <w:t xml:space="preserve">Übertragbarkeit: </w:t>
      </w:r>
      <w:r>
        <w:rPr>
          <w:sz w:val="19"/>
        </w:rPr>
        <w:t>Globale Public-Health-Strategie; Rahmensetzung für deutsche Gesundheitspolitik</w:t>
      </w:r>
    </w:p>
    <w:p>
      <w:r>
        <w:rPr>
          <w:color w:val="5A7D3A"/>
          <w:sz w:val="18"/>
        </w:rPr>
        <w:t>https://pubmed.ncbi.nlm.nih.gov/42901192/</w:t>
      </w:r>
    </w:p>
    <w:p>
      <w:pPr>
        <w:pStyle w:val="Heading2"/>
      </w:pPr>
      <w:r>
        <w:t>Nachhaltigkeitsschulung in der Notfallmedizin: Effekte auf Wissen und Verhalten</w:t>
      </w:r>
    </w:p>
    <w:p>
      <w:r>
        <w:rPr>
          <w:i/>
          <w:color w:val="666666"/>
          <w:sz w:val="18"/>
        </w:rPr>
        <w:t>Ashkezari AD et al.  ·  West J Emerg Med  ·  10.08.2026  ·  PMID 42900914</w:t>
      </w:r>
    </w:p>
    <w:p>
      <w:r>
        <w:t>Prospektive Vor-Nachher-Studie zur Wirksamkeit eines Kurzvideos über nachhaltige Klinikpraxis bei US-amerikanischen Notfallmedizinern (N=34).</w:t>
      </w:r>
    </w:p>
    <w:p>
      <w:r>
        <w:rPr>
          <w:b/>
        </w:rPr>
        <w:t xml:space="preserve">Ergebnis: </w:t>
      </w:r>
      <w:r>
        <w:t>Wissenswerte stiegen von 55,0% auf 68,0% unmittelbar nach der Intervention (p&lt;0,001) und blieben bei 65,0% nach einem Monat erhöht (p=0,003). Einstellungen verbesserten sich signifikant (p=0,001). Bei Verhaltensänderungen zeigten sich Verbesserungen: bevorzugte Verordnung von Pulverinhalatoren stieg von 12,0% auf 37,0% (p&lt;0,050), Müllvermeidungsbestrebungen von 56,0% auf 87,0% (p&lt;0,050).</w:t>
      </w:r>
    </w:p>
    <w:p>
      <w:r>
        <w:rPr>
          <w:b/>
          <w:sz w:val="19"/>
        </w:rPr>
        <w:t xml:space="preserve">Übertragbarkeit: </w:t>
      </w:r>
      <w:r>
        <w:rPr>
          <w:sz w:val="19"/>
        </w:rPr>
        <w:t>USA-Gesundheitswesen, aber Transfer-Methodik auf deutsches Klinikmanagement anwendbar</w:t>
      </w:r>
    </w:p>
    <w:p>
      <w:r>
        <w:rPr>
          <w:color w:val="5A7D3A"/>
          <w:sz w:val="18"/>
        </w:rPr>
        <w:t>https://pubmed.ncbi.nlm.nih.gov/42900914/</w:t>
      </w:r>
    </w:p>
    <w:p>
      <w:pPr>
        <w:pStyle w:val="Heading2"/>
      </w:pPr>
      <w:r>
        <w:t>Erhitzte Tabakprodukte: Reduktion von Emissionen ohne bewiesene klinische Vorteile</w:t>
      </w:r>
    </w:p>
    <w:p>
      <w:r>
        <w:rPr>
          <w:i/>
          <w:color w:val="666666"/>
          <w:sz w:val="18"/>
        </w:rPr>
        <w:t>Bisht A et al.  ·  Front Public Health  ·  21.09.2026  ·  PMID 42835745</w:t>
      </w:r>
    </w:p>
    <w:p>
      <w:r>
        <w:t>Narrative Übersichtsarbeit zu Zusammensetzung, Exposition und Gesundheitsfolgen erhitzter Tabakprodukte (HTPs) im Vergleich zu Zigaretten auf vier Ebenen: Produktemissionen, Biomarker der Humanexposition, individuelle Krankheitsrisiken und Bevölkerungsgesundheitsfolgen.</w:t>
      </w:r>
    </w:p>
    <w:p>
      <w:r>
        <w:rPr>
          <w:b/>
        </w:rPr>
        <w:t xml:space="preserve">Ergebnis: </w:t>
      </w:r>
      <w:r>
        <w:t>HTPs reduzieren zwar einige Verbrennungstoxine im Vergleich zu Zigaretten, sind aber nicht risikofrei. Reduzierte Emissionen und Biomarker belegen nicht automatisch reduzierte klinische Erkrankungen oder Mortalität. Die Bevölkerungsgesundheitsfolgen hängen ab von: Aufnahmemuster, sozialen Kontexten, Nutzungsfrequenz, exklusiv vs. Dual-Konsum, Vorerkrankungen, regulatorischer Umgebung. Bisher keine ausreichende Langzeitepidemiologie.</w:t>
      </w:r>
    </w:p>
    <w:p>
      <w:r>
        <w:rPr>
          <w:b/>
          <w:sz w:val="19"/>
        </w:rPr>
        <w:t xml:space="preserve">Übertragbarkeit: </w:t>
      </w:r>
      <w:r>
        <w:rPr>
          <w:sz w:val="19"/>
        </w:rPr>
        <w:t>Globale Evidenz, Methodik auf deutsches Tabakkontroll-Setting übertragbar</w:t>
      </w:r>
    </w:p>
    <w:p>
      <w:r>
        <w:rPr>
          <w:color w:val="5A7D3A"/>
          <w:sz w:val="18"/>
        </w:rPr>
        <w:t>https://pubmed.ncbi.nlm.nih.gov/42835745/</w:t>
      </w:r>
    </w:p>
    <w:p>
      <w:pPr>
        <w:pStyle w:val="Heading2"/>
      </w:pPr>
      <w:r>
        <w:t>Social Prescribing: Gemeinderessourcen als Antwort auf Systemlastgrenzen</w:t>
      </w:r>
    </w:p>
    <w:p>
      <w:r>
        <w:rPr>
          <w:i/>
          <w:color w:val="666666"/>
          <w:sz w:val="18"/>
        </w:rPr>
        <w:t>Mulligan K  ·  Healthc Pap  ·  Juni 2026  ·  PMID 42834014</w:t>
      </w:r>
    </w:p>
    <w:p>
      <w:r>
        <w:t>Strategiepapier über Social Prescribing als strukturierte Verbindung von Patient:innen mit Gemeinderessourcen durch Linkworker; Analyse für kanadisches Gesundheitssystem unter Berücksichtigung von Klimawandel-Resilienz und Health Equity.</w:t>
      </w:r>
    </w:p>
    <w:p>
      <w:r>
        <w:rPr>
          <w:b/>
        </w:rPr>
        <w:t xml:space="preserve">Ergebnis: </w:t>
      </w:r>
      <w:r>
        <w:t>Modellierung zeigt potenziellen ROI von 4,43 Dollar pro investiertem Dollar. Kanadas System ist an Grenzen angekommen (400 Mrd. CA$/Jahr, 20% ohne Hausarzt, Notfalloverlauf, persistente Health Inequities). Social Prescribing adressiert Systemlastgrenzen durch Umleitung öffentlicher Investitionen in Gemeindeinfrastruktur und bietet Resilienz gegen Klimawandel, Handelsinstabilität und geopolitische Unsicherheit.</w:t>
      </w:r>
    </w:p>
    <w:p>
      <w:r>
        <w:rPr>
          <w:b/>
          <w:sz w:val="19"/>
        </w:rPr>
        <w:t xml:space="preserve">Übertragbarkeit: </w:t>
      </w:r>
      <w:r>
        <w:rPr>
          <w:sz w:val="19"/>
        </w:rPr>
        <w:t>Kanada (gemäßigte Klimazone, hohe Systemvergleichbarkeit mit Deutschland)</w:t>
      </w:r>
    </w:p>
    <w:p>
      <w:r>
        <w:rPr>
          <w:color w:val="5A7D3A"/>
          <w:sz w:val="18"/>
        </w:rPr>
        <w:t>https://pubmed.ncbi.nlm.nih.gov/42834014/</w:t>
      </w:r>
    </w:p>
    <w:p>
      <w:pPr>
        <w:pStyle w:val="Heading2"/>
      </w:pPr>
      <w:r>
        <w:t>Expertenkonsens für vergleichbare Messung von Passivrauchexposition</w:t>
      </w:r>
    </w:p>
    <w:p>
      <w:r>
        <w:rPr>
          <w:i/>
          <w:color w:val="666666"/>
          <w:sz w:val="18"/>
        </w:rPr>
        <w:t>Teijeiro A et al.  ·  Pulmonology  ·  21.08.2026  ·  PMID 42625490</w:t>
      </w:r>
    </w:p>
    <w:p>
      <w:r>
        <w:t>Zwei-Runden-Delphi-Studie mit Expert:innen aus Portugal und Brasilien zur Standardisierung von Fragebogenkonzepten für Passivrauch-Exposition in epidemiologischen Erhebungen.</w:t>
      </w:r>
    </w:p>
    <w:p>
      <w:r>
        <w:rPr>
          <w:b/>
        </w:rPr>
        <w:t xml:space="preserve">Ergebnis: </w:t>
      </w:r>
      <w:r>
        <w:t>Expert:innen einigten sich auf zentrale Messkonzepte: Exposition sollte in spezifischen Settings erfasst werden (Zuhause, Arbeitsplatz, öffentliche/private Verkehrsmittel, Freizeit); Recall-Fragen sollten Stunden indoors/outdoors an Arbeits- und Nicht-Arbeitstagen im letzten Monat abfragen; Expositionsintensität durch Raucheranteil oder wahrgenommene Rauchbelastung beurteilt werden. Länderunterschiede waren minimal. Standardisierte Fragebogen ermöglichen vergleichbare Datenerhebung für evidenzbasierte Tabakpolitik.</w:t>
      </w:r>
    </w:p>
    <w:p>
      <w:r>
        <w:rPr>
          <w:b/>
          <w:sz w:val="19"/>
        </w:rPr>
        <w:t xml:space="preserve">Übertragbarkeit: </w:t>
      </w:r>
      <w:r>
        <w:rPr>
          <w:sz w:val="19"/>
        </w:rPr>
        <w:t>Portugal (EU-Mitgliedstaat), vergleichbares Gesundheitswesen und Klimazone</w:t>
      </w:r>
    </w:p>
    <w:p>
      <w:r>
        <w:rPr>
          <w:color w:val="5A7D3A"/>
          <w:sz w:val="18"/>
        </w:rPr>
        <w:t>https://pubmed.ncbi.nlm.nih.gov/42625490/</w:t>
      </w:r>
    </w:p>
    <w:p>
      <w:pPr>
        <w:pStyle w:val="Heading1"/>
      </w:pPr>
      <w:r>
        <w:t>Aufgenommen am 21.10.2026</w:t>
      </w:r>
    </w:p>
    <w:p>
      <w:pPr>
        <w:pStyle w:val="Heading2"/>
      </w:pPr>
      <w:r>
        <w:t>Hitzebedingte Erkrankungen bei älteren Menschen und Notfallmedizin</w:t>
      </w:r>
    </w:p>
    <w:p>
      <w:r>
        <w:rPr>
          <w:i/>
          <w:color w:val="666666"/>
          <w:sz w:val="18"/>
        </w:rPr>
        <w:t>Simon EL et al.  ·  West J Emerg Med  ·  17.08.2026  ·  PMID 42900944</w:t>
      </w:r>
    </w:p>
    <w:p>
      <w:r>
        <w:t>Narrative Review zu Vulnerabilität älterer Erwachsener gegenüber extremer Hitze und deren Folgen für Notaufnahmen sowie klinische und Public-Health-Strategien.</w:t>
      </w:r>
    </w:p>
    <w:p>
      <w:r>
        <w:rPr>
          <w:b/>
        </w:rPr>
        <w:t xml:space="preserve">Ergebnis: </w:t>
      </w:r>
      <w:r>
        <w:t>Älter Menschen zeigen erhöhte Hitzesterblichkeit und -morbidität durch physiologische Alterungsprozesse, Komorbiditäten und Polypharmaka. Empfohlen werden proaktive Prävention, frühe Erkennung und koordinierte Gemeinschaftsinterventionen als essentiell.</w:t>
      </w:r>
    </w:p>
    <w:p>
      <w:r>
        <w:rPr>
          <w:b/>
          <w:sz w:val="19"/>
        </w:rPr>
        <w:t xml:space="preserve">Übertragbarkeit: </w:t>
      </w:r>
      <w:r>
        <w:rPr>
          <w:sz w:val="19"/>
        </w:rPr>
        <w:t>USA, gemäßigte Klimazone, Methodik und Risikogruppen-Prinzipien übertragbar</w:t>
      </w:r>
    </w:p>
    <w:p>
      <w:r>
        <w:rPr>
          <w:color w:val="5A7D3A"/>
          <w:sz w:val="18"/>
        </w:rPr>
        <w:t>https://pubmed.ncbi.nlm.nih.gov/42900944/</w:t>
      </w:r>
    </w:p>
    <w:p>
      <w:pPr>
        <w:pStyle w:val="Heading2"/>
      </w:pPr>
      <w:r>
        <w:t>Steigende Temperaturen und Traumapräsentationen in der Notaufnahme</w:t>
      </w:r>
    </w:p>
    <w:p>
      <w:r>
        <w:rPr>
          <w:i/>
          <w:color w:val="666666"/>
          <w:sz w:val="18"/>
        </w:rPr>
        <w:t>Mosley GE et al.  ·  West J Emerg Med  ·  24.09.2026  ·  PMID 42900920</w:t>
      </w:r>
    </w:p>
    <w:p>
      <w:r>
        <w:t>Retrospektive Kohortenstudie zur Assoziation zwischen Tagestemperatur und Traumafallaufkommen, stratifiziert nach Verletzungsmechanismus.</w:t>
      </w:r>
    </w:p>
    <w:p>
      <w:r>
        <w:rPr>
          <w:b/>
        </w:rPr>
        <w:t xml:space="preserve">Ergebnis: </w:t>
      </w:r>
      <w:r>
        <w:t>Beide maximale und minimale Tagestemperaturen korrelierten positiv mit Traumaaktivierungen. Gewalttaten zeigten stärkste Assoziation: Im höchsten Temperaturquintil (&gt;83 °F) 83 % höhere Gewalttaumata (IRR 1,83; 95%-KI 1,46–2,29) vs. niedrigstem Quintil.</w:t>
      </w:r>
    </w:p>
    <w:p>
      <w:r>
        <w:rPr>
          <w:b/>
          <w:sz w:val="19"/>
        </w:rPr>
        <w:t xml:space="preserve">Übertragbarkeit: </w:t>
      </w:r>
      <w:r>
        <w:rPr>
          <w:sz w:val="19"/>
        </w:rPr>
        <w:t>USA-Daten, gemäßigte Klimazone; epidemiologische Methodik auf Deutschland übertragbar</w:t>
      </w:r>
    </w:p>
    <w:p>
      <w:r>
        <w:rPr>
          <w:color w:val="5A7D3A"/>
          <w:sz w:val="18"/>
        </w:rPr>
        <w:t>https://pubmed.ncbi.nlm.nih.gov/42900920/</w:t>
      </w:r>
    </w:p>
    <w:p>
      <w:pPr>
        <w:pStyle w:val="Heading2"/>
      </w:pPr>
      <w:r>
        <w:t>Kühlung mit Eiswasserbeuteln bei Hitzschlag im Notfalleinsatz</w:t>
      </w:r>
    </w:p>
    <w:p>
      <w:r>
        <w:rPr>
          <w:i/>
          <w:color w:val="666666"/>
          <w:sz w:val="18"/>
        </w:rPr>
        <w:t>Zashin D et al.  ·  West J Emerg Med  ·  05.09.2026  ·  PMID 42900913</w:t>
      </w:r>
    </w:p>
    <w:p>
      <w:r>
        <w:t>Randomisierte Crossover-Studie zur Abkühlungsrate bei Patienten mit belastungsbedingter Hyperthermie mittels Eiswasserbeutel gegenüber Kontrollbedingung.</w:t>
      </w:r>
    </w:p>
    <w:p>
      <w:r>
        <w:rPr>
          <w:b/>
        </w:rPr>
        <w:t xml:space="preserve">Ergebnis: </w:t>
      </w:r>
      <w:r>
        <w:t>Eiswasserbeutel (partielle Immersion) erreichten Abkühlungsrate von 0,102 °C/min vs. 0,040 °C/min in Kontrolle (95%-KI 0,030–0,095; p=0,002). Kühlzeit 13,2 min vs. 27,6 min (p=0,002).</w:t>
      </w:r>
    </w:p>
    <w:p>
      <w:r>
        <w:rPr>
          <w:b/>
          <w:sz w:val="19"/>
        </w:rPr>
        <w:t xml:space="preserve">Übertragbarkeit: </w:t>
      </w:r>
      <w:r>
        <w:rPr>
          <w:sz w:val="19"/>
        </w:rPr>
        <w:t>USA, praktische Notfall-Intervention; Methode für Hitzschlag-Protokolle relevant</w:t>
      </w:r>
    </w:p>
    <w:p>
      <w:r>
        <w:rPr>
          <w:color w:val="5A7D3A"/>
          <w:sz w:val="18"/>
        </w:rPr>
        <w:t>https://pubmed.ncbi.nlm.nih.gov/42900913/</w:t>
      </w:r>
    </w:p>
    <w:p>
      <w:pPr>
        <w:pStyle w:val="Heading2"/>
      </w:pPr>
      <w:r>
        <w:t>Gerechtigkeit und Chancengleichheit in klimabedingten Katastrophen</w:t>
      </w:r>
    </w:p>
    <w:p>
      <w:r>
        <w:rPr>
          <w:i/>
          <w:color w:val="666666"/>
          <w:sz w:val="18"/>
        </w:rPr>
        <w:t>Mundo W et al.  ·  West J Emerg Med  ·  10.08.2026  ·  PMID 42900907</w:t>
      </w:r>
    </w:p>
    <w:p>
      <w:r>
        <w:t>Narrative Review zu Verdrängung und Vulnerabilität durch klimabedingte Katastrophen mit fokus auf Implementationswissenschaft und Equity in Notfall- und Recovery-Prozessen.</w:t>
      </w:r>
    </w:p>
    <w:p>
      <w:r>
        <w:rPr>
          <w:b/>
        </w:rPr>
        <w:t xml:space="preserve">Ergebnis: </w:t>
      </w:r>
      <w:r>
        <w:t>Studie identifiziert Sprachenbarrieren, Fragmentierung von Recovery-Maßnahmen und unzureichende Dokumentation als zentrale operative Hürden. Empfohlen: mehrsprachige Warnsysteme, Dolmetscher-bereite Triage, mobile Kliniken und Policy-Änderungen für vulnerable Gruppen.</w:t>
      </w:r>
    </w:p>
    <w:p>
      <w:r>
        <w:rPr>
          <w:b/>
          <w:sz w:val="19"/>
        </w:rPr>
        <w:t xml:space="preserve">Übertragbarkeit: </w:t>
      </w:r>
      <w:r>
        <w:rPr>
          <w:sz w:val="19"/>
        </w:rPr>
        <w:t>USA/Kanada, Implementationsmethoden und Equity-Rahmenbau klimagerecht</w:t>
      </w:r>
    </w:p>
    <w:p>
      <w:r>
        <w:rPr>
          <w:color w:val="5A7D3A"/>
          <w:sz w:val="18"/>
        </w:rPr>
        <w:t>https://pubmed.ncbi.nlm.nih.gov/42900907/</w:t>
      </w:r>
    </w:p>
    <w:p>
      <w:pPr>
        <w:pStyle w:val="Heading2"/>
      </w:pPr>
      <w:r>
        <w:t>Soziale Benachteiligung, Luftverschmutzung und metabolische Gesundheit</w:t>
      </w:r>
    </w:p>
    <w:p>
      <w:r>
        <w:rPr>
          <w:i/>
          <w:color w:val="666666"/>
          <w:sz w:val="18"/>
        </w:rPr>
        <w:t>Ma Y et al.  ·  Front Endocrinol (Lausanne)  ·  30.09.2026  ·  PMID 42876562</w:t>
      </w:r>
    </w:p>
    <w:p>
      <w:r>
        <w:t>Multi-Datenbank-Observationsstudie zu gemeinsamen Assoziationen von Deprivation und Luftverschmutzung mit Leberfett und Adipositas bei Frauen mittleren und höheren Alters.</w:t>
      </w:r>
    </w:p>
    <w:p>
      <w:r>
        <w:rPr>
          <w:b/>
        </w:rPr>
        <w:t xml:space="preserve">Ergebnis: </w:t>
      </w:r>
      <w:r>
        <w:t>Bei 231.525 UK-Frauen: Jede Einheit höherer Deprivation assoziiert mit höherem Fatty Liver Index (β=1,114; 95%-KI 1,069–1,159) und höherer Odds für FLI≥60 (OR 1,080; 95%-KI 1,076–1,084). Luftverschmutzungseffekt auf FLI-Assoziation wurde nach Deprivationsadjustment attenuiert.</w:t>
      </w:r>
    </w:p>
    <w:p>
      <w:r>
        <w:rPr>
          <w:b/>
          <w:sz w:val="19"/>
        </w:rPr>
        <w:t xml:space="preserve">Übertragbarkeit: </w:t>
      </w:r>
      <w:r>
        <w:rPr>
          <w:sz w:val="19"/>
        </w:rPr>
        <w:t>UK Biobank, vergleichbares Klima und Versorgungssystem wie Deutschland</w:t>
      </w:r>
    </w:p>
    <w:p>
      <w:r>
        <w:rPr>
          <w:color w:val="5A7D3A"/>
          <w:sz w:val="18"/>
        </w:rPr>
        <w:t>https://pubmed.ncbi.nlm.nih.gov/42876562/</w:t>
      </w:r>
    </w:p>
    <w:p>
      <w:pPr>
        <w:pStyle w:val="Heading2"/>
      </w:pPr>
      <w:r>
        <w:t>Rückgang häufiger Arten gefährdet Ökosysteme weltweit</w:t>
      </w:r>
    </w:p>
    <w:p>
      <w:r>
        <w:rPr>
          <w:i/>
          <w:color w:val="666666"/>
          <w:sz w:val="18"/>
        </w:rPr>
        <w:t>Xu W et al.  ·  Nat Commun  ·  12.09.2026  ·  PMID 42869934</w:t>
      </w:r>
    </w:p>
    <w:p>
      <w:r>
        <w:t>Hierarchische Bayesian-Synthese von Populationstrends aus 4.748 Standorten über 129 Studien zu Häufigkeitsveränderungen von Arten in Reaktion auf Klimawandel und anthropogene Treiber.</w:t>
      </w:r>
    </w:p>
    <w:p>
      <w:r>
        <w:rPr>
          <w:b/>
        </w:rPr>
        <w:t xml:space="preserve">Ergebnis: </w:t>
      </w:r>
      <w:r>
        <w:t>Konsistent stärkerer Rückgang anfangs häufiger Arten in Marine- und Terrestrisch-Ökosystemen; Süßwasser zeigt kein klares Muster. Klimaerwärmung und nicht-klimatische Menschendruck modulierten Trends, mit teilweise attenuierendem Effekt auf Verluste häufiger Arten (marine Systeme).</w:t>
      </w:r>
    </w:p>
    <w:p>
      <w:r>
        <w:rPr>
          <w:b/>
          <w:sz w:val="19"/>
        </w:rPr>
        <w:t xml:space="preserve">Übertragbarkeit: </w:t>
      </w:r>
      <w:r>
        <w:rPr>
          <w:sz w:val="19"/>
        </w:rPr>
        <w:t>Globale Daten mit Klimawandelbezug; funktionale Konsequenzen für Planetary Health relevant</w:t>
      </w:r>
    </w:p>
    <w:p>
      <w:r>
        <w:rPr>
          <w:color w:val="5A7D3A"/>
          <w:sz w:val="18"/>
        </w:rPr>
        <w:t>https://pubmed.ncbi.nlm.nih.gov/42869934/</w:t>
      </w:r>
    </w:p>
    <w:p>
      <w:pPr>
        <w:pStyle w:val="Heading1"/>
      </w:pPr>
      <w:r>
        <w:t>Aufgenommen am 20.10.2026</w:t>
      </w:r>
    </w:p>
    <w:p>
      <w:pPr>
        <w:pStyle w:val="Heading2"/>
      </w:pPr>
      <w:r>
        <w:t>Schwermetallbelastung Schwangerer: Urin, Hausstaub und Luftqualität</w:t>
      </w:r>
    </w:p>
    <w:p>
      <w:r>
        <w:rPr>
          <w:i/>
          <w:color w:val="666666"/>
          <w:sz w:val="18"/>
        </w:rPr>
        <w:t>Moradnia M et al.  ·  Environ Geochem Health  ·  19.10.2026  ·  PMID 42895578</w:t>
      </w:r>
    </w:p>
    <w:p>
      <w:r>
        <w:t>Studie untersuchte die räumliche Variabilität von Blei, Chrom, Kadmium und Nickel in Urin und Hausstaub bei 80 schwangeren Frauen im Kontext der Luftqualität.</w:t>
      </w:r>
    </w:p>
    <w:p>
      <w:r>
        <w:rPr>
          <w:b/>
        </w:rPr>
        <w:t xml:space="preserve">Ergebnis: </w:t>
      </w:r>
      <w:r>
        <w:t>Bedeutsame räumliche Unterschiede für Urin-Metallkonzentrationen und Air-Quality-Index (p&lt;0,001), nicht aber für Hausstaub-Metallkonzentrationen. Blei im Hausstaub Mittelwert 111,10 μg/g. Gebäudealter korrelierte stark mit Blei im Staub (ρ=0,788, p&lt;0,001). Urin- und Staubprofile nicht signifikant korreliert.</w:t>
      </w:r>
    </w:p>
    <w:p>
      <w:r>
        <w:rPr>
          <w:b/>
          <w:sz w:val="19"/>
        </w:rPr>
        <w:t xml:space="preserve">Übertragbarkeit: </w:t>
      </w:r>
      <w:r>
        <w:rPr>
          <w:sz w:val="19"/>
        </w:rPr>
        <w:t>Iran; zeigt prinzipielle Komplexität pränataler Exposition – in Deutschland relevant für vulnerable Populationen und Screening-Strategien.</w:t>
      </w:r>
    </w:p>
    <w:p>
      <w:r>
        <w:rPr>
          <w:color w:val="5A7D3A"/>
          <w:sz w:val="18"/>
        </w:rPr>
        <w:t>https://pubmed.ncbi.nlm.nih.gov/42895578/</w:t>
      </w:r>
    </w:p>
    <w:p>
      <w:pPr>
        <w:pStyle w:val="Heading2"/>
      </w:pPr>
      <w:r>
        <w:t>Luftverschmutzung und Hirnleistung: Schutzeffekt gesunder Lebensweise</w:t>
      </w:r>
    </w:p>
    <w:p>
      <w:r>
        <w:rPr>
          <w:i/>
          <w:color w:val="666666"/>
          <w:sz w:val="18"/>
        </w:rPr>
        <w:t>Zhang Y et al.  ·  J Glob Health  ·  19.10.2026  ·  PMID 42895283</w:t>
      </w:r>
    </w:p>
    <w:p>
      <w:r>
        <w:t>Studie untersuchte die Assoziation zwischen Langzeit-Luftverschmutzung und kognitiven Störungen bei älteren Erwachsenen in China sowie die schützende Rolle von Lebensstiländerungen.</w:t>
      </w:r>
    </w:p>
    <w:p>
      <w:r>
        <w:rPr>
          <w:b/>
        </w:rPr>
        <w:t xml:space="preserve">Ergebnis: </w:t>
      </w:r>
      <w:r>
        <w:t>Pro 10 μg/m³ Feinstaub (PM2.5) erhöhtes Kognitiv-Störungs-Risiko (HR 1,005; 95%-KI 1,001–1,009). Günstige Lebensweise reduzierte Risiko um etwa 52% bei hoher Exposition; Lifestyle mediierte 8,4–9,4% der Assoziation. Mischexposition mehrerer Schadstoffe zeigte signifikanten positiven Effekt auf Kognitiv-Störungs-Risiko (OR 1,028; 95%-KI 1,006–1,040).</w:t>
      </w:r>
    </w:p>
    <w:p>
      <w:r>
        <w:rPr>
          <w:b/>
          <w:sz w:val="19"/>
        </w:rPr>
        <w:t xml:space="preserve">Übertragbarkeit: </w:t>
      </w:r>
      <w:r>
        <w:rPr>
          <w:sz w:val="19"/>
        </w:rPr>
        <w:t>China mit vergleichbarem Alter und Exposition; Lebensstil-Intervention prinzipiell auch in Deutschland anwendbar.</w:t>
      </w:r>
    </w:p>
    <w:p>
      <w:r>
        <w:rPr>
          <w:color w:val="5A7D3A"/>
          <w:sz w:val="18"/>
        </w:rPr>
        <w:t>https://pubmed.ncbi.nlm.nih.gov/42895283/</w:t>
      </w:r>
    </w:p>
    <w:p>
      <w:pPr>
        <w:pStyle w:val="Heading2"/>
      </w:pPr>
      <w:r>
        <w:t>Planetary-Health-Literacy: Messinstrumente auf dem Prüfstand</w:t>
      </w:r>
    </w:p>
    <w:p>
      <w:r>
        <w:rPr>
          <w:i/>
          <w:color w:val="666666"/>
          <w:sz w:val="18"/>
        </w:rPr>
        <w:t>Reismann L et al.  ·  Health Qual Life Outcomes  ·  16.10.2026  ·  PMID 42888415</w:t>
      </w:r>
    </w:p>
    <w:p>
      <w:r>
        <w:t>Systematische Übersicht zur Güte von Messinstrumenten für Planetary and One Health Literacy nach COSMIN-Kriterien.</w:t>
      </w:r>
    </w:p>
    <w:p>
      <w:r>
        <w:rPr>
          <w:b/>
        </w:rPr>
        <w:t xml:space="preserve">Ergebnis: </w:t>
      </w:r>
      <w:r>
        <w:t>Von 192 gescreenten Datensätzen 4 Studien identifiziert mit 3 Instrumenten (CCHLS, Climate Change and Infectious Disease Literacy Scale, SFLS). Sustainable Food Literacy Scale (SFLS) zeigte beste Messeigenschaften mit sehr guter Evidenzqualität; türkische Adaptation hatte niedrige methodische Qualität. Alle Instrumente: niedrige bis sehr niedrige Evidenzqualität für Entwicklung und Inhaltsvalidität.</w:t>
      </w:r>
    </w:p>
    <w:p>
      <w:r>
        <w:rPr>
          <w:b/>
          <w:sz w:val="19"/>
        </w:rPr>
        <w:t xml:space="preserve">Übertragbarkeit: </w:t>
      </w:r>
      <w:r>
        <w:rPr>
          <w:sz w:val="19"/>
        </w:rPr>
        <w:t>Deutsche Studien unter Autoren; zeigt Messbarkeits-Lücke bei Klimabewusstsein für deutsches Gesundheitswesen.</w:t>
      </w:r>
    </w:p>
    <w:p>
      <w:r>
        <w:rPr>
          <w:color w:val="5A7D3A"/>
          <w:sz w:val="18"/>
        </w:rPr>
        <w:t>https://pubmed.ncbi.nlm.nih.gov/42888415/</w:t>
      </w:r>
    </w:p>
    <w:p>
      <w:pPr>
        <w:pStyle w:val="Heading2"/>
      </w:pPr>
      <w:r>
        <w:t>Passivrauchen in der Schwangerschaft: Selbstwirksamkeit und objektive Biomarker</w:t>
      </w:r>
    </w:p>
    <w:p>
      <w:r>
        <w:rPr>
          <w:i/>
          <w:color w:val="666666"/>
          <w:sz w:val="18"/>
        </w:rPr>
        <w:t>Karimiankakolaki Z et al.  ·  BMC Res Notes  ·  05.10.2026  ·  PMID 42881409</w:t>
      </w:r>
    </w:p>
    <w:p>
      <w:r>
        <w:t>Querschnittsstudie untersuchte Zusammenhänge zwischen Selbstwirksamkeit rauchender Männer, ihrer Zigarettenkonsumption, Angaben schwangerer Partnerinnen und Speichel-Cotinin-Spiegeln.</w:t>
      </w:r>
    </w:p>
    <w:p>
      <w:r>
        <w:rPr>
          <w:b/>
        </w:rPr>
        <w:t xml:space="preserve">Ergebnis: </w:t>
      </w:r>
      <w:r>
        <w:t>140 rauchende Männer und schwangere Frauen: mittlere Männer-Selbstwirksamkeit 37,86 (SD 4,27), Zigarettenkonsum 6,46 (SD 4,50) pro Tag, Cotinin-Spiegel 52,90 (SD 33,39) pg/ml. Signifikante Korrelationen zwischen Selbstwirksamkeit und Konsum (r=−0,31), Selbstwirksamkeit und berichteter Exposition (r=−0,41), berichteter Exposition und Cotinin (r=0,72). Im Regressionsmodell: berichtete Exposition (β=0,63, p&lt;0,001) und Selbstwirksamkeit (β=−0,14, p=0,022) erklärten 56% der Varianz in Cotinin.</w:t>
      </w:r>
    </w:p>
    <w:p>
      <w:r>
        <w:rPr>
          <w:b/>
          <w:sz w:val="19"/>
        </w:rPr>
        <w:t xml:space="preserve">Übertragbarkeit: </w:t>
      </w:r>
      <w:r>
        <w:rPr>
          <w:sz w:val="19"/>
        </w:rPr>
        <w:t>Iran; Mechanismus (Verhaltensfaktoren und objektive Biomarker) auf Deutschland übertragbar; Screening von Schwangerschaftsexposition.</w:t>
      </w:r>
    </w:p>
    <w:p>
      <w:r>
        <w:rPr>
          <w:color w:val="5A7D3A"/>
          <w:sz w:val="18"/>
        </w:rPr>
        <w:t>https://pubmed.ncbi.nlm.nih.gov/42881409/</w:t>
      </w:r>
    </w:p>
    <w:p>
      <w:pPr>
        <w:pStyle w:val="Heading2"/>
      </w:pPr>
      <w:r>
        <w:t>Luftverschmutzung und Sterblichkeit in reichem Land: Abu Dhabi</w:t>
      </w:r>
    </w:p>
    <w:p>
      <w:r>
        <w:rPr>
          <w:i/>
          <w:color w:val="666666"/>
          <w:sz w:val="18"/>
        </w:rPr>
        <w:t>Wei T et al.  ·  Risk Anal  ·  Nov. 2026  ·  PMID 42872515</w:t>
      </w:r>
    </w:p>
    <w:p>
      <w:r>
        <w:t>Studie schätzte die Krankheitslast durch Feinstaub und Ozon in Abu Dhabi 2019–2022 und verglich sie mit Daten von 2008.</w:t>
      </w:r>
    </w:p>
    <w:p>
      <w:r>
        <w:rPr>
          <w:b/>
        </w:rPr>
        <w:t xml:space="preserve">Ergebnis: </w:t>
      </w:r>
      <w:r>
        <w:t>Zurechenbare Todesfälle stiegen von 231 (90%-UI 59–427) im Jahr 2008 auf 1.249 (90%-UI 507–2.169) im Mittel 2019–2022, trotz Investitionen in Luftqualitätsmanagemnet. Stadtgebiete mit höherer Schadstoffkonzentration zeigen höchste Risiken.</w:t>
      </w:r>
    </w:p>
    <w:p>
      <w:r>
        <w:rPr>
          <w:b/>
          <w:sz w:val="19"/>
        </w:rPr>
        <w:t xml:space="preserve">Übertragbarkeit: </w:t>
      </w:r>
      <w:r>
        <w:rPr>
          <w:sz w:val="19"/>
        </w:rPr>
        <w:t>Wohlhabendes Land, andere Klimazone; Methodik und Monitoring-Ansatz übertragbar, nicht Schwellwerte.</w:t>
      </w:r>
    </w:p>
    <w:p>
      <w:r>
        <w:rPr>
          <w:color w:val="5A7D3A"/>
          <w:sz w:val="18"/>
        </w:rPr>
        <w:t>https://pubmed.ncbi.nlm.nih.gov/42872515/</w:t>
      </w:r>
    </w:p>
    <w:p>
      <w:pPr>
        <w:pStyle w:val="Heading2"/>
      </w:pPr>
      <w:r>
        <w:t>Evaluationszeiträume bei Tabak-Kontrollrichtlinien in Nordamerika und Commonwealth</w:t>
      </w:r>
    </w:p>
    <w:p>
      <w:r>
        <w:rPr>
          <w:i/>
          <w:color w:val="666666"/>
          <w:sz w:val="18"/>
        </w:rPr>
        <w:t>Aziz H et al.  ·  Front Public Health  ·  29.09.2026  ·  PMID 42871433</w:t>
      </w:r>
    </w:p>
    <w:p>
      <w:r>
        <w:t>Systematische Übersicht der Evaluationsverzögerung zwischen Politikimplementierung und Messung von Verhaltenseffekten in Tabakkontrollstudien.</w:t>
      </w:r>
    </w:p>
    <w:p>
      <w:r>
        <w:rPr>
          <w:b/>
        </w:rPr>
        <w:t xml:space="preserve">Ergebnis: </w:t>
      </w:r>
      <w:r>
        <w:t>21 Studien analysiert: Rauchfrei-Richtlinien wurden früher evaluiert (6 Monate bis 1 Jahr), Einzelhandels- und Nikotin-Richtlinien später (≥1 Jahr). 90,5% der Studien zeigten niedriges Verzerrungsrisiko. Die meisten Studien berichteten positive Effekte nach Implementierung.</w:t>
      </w:r>
    </w:p>
    <w:p>
      <w:r>
        <w:rPr>
          <w:b/>
          <w:sz w:val="19"/>
        </w:rPr>
        <w:t xml:space="preserve">Übertragbarkeit: </w:t>
      </w:r>
      <w:r>
        <w:rPr>
          <w:sz w:val="19"/>
        </w:rPr>
        <w:t>Kanada mit ähnlichem Gesundheitssystem; Evidenzlage für optimale Evaluationszeiträume nach Politiktyp relevant für deutsches Tabakkontroll-Monitoring.</w:t>
      </w:r>
    </w:p>
    <w:p>
      <w:r>
        <w:rPr>
          <w:color w:val="5A7D3A"/>
          <w:sz w:val="18"/>
        </w:rPr>
        <w:t>https://pubmed.ncbi.nlm.nih.gov/42871433/</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