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28.10.2026  |  6 Studien  |  klima.m-vf.de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Luftverschmutzung und Lebensjahrverlust durch Krebs in Shanghai</w:t>
      </w:r>
    </w:p>
    <w:p>
      <w:r>
        <w:rPr>
          <w:i/>
          <w:color w:val="666666"/>
          <w:sz w:val="18"/>
        </w:rPr>
        <w:t>Zhong X et al.  ·  PLoS One  ·  27.10.2026  ·  PMID 42945340</w:t>
      </w:r>
    </w:p>
    <w:p>
      <w:r>
        <w:t>Zeitreihenanalyse (2013–2021) der Kurzzeit-Effekte von Feinstaub, Schwefeldioxid, Stickstoffdioxid und Ozon auf krebsbedingte Lebensjahrverluste (YLL) in Shanghai (n=Todesdaten von 2013–2021).</w:t>
      </w:r>
    </w:p>
    <w:p>
      <w:r>
        <w:rPr>
          <w:b/>
        </w:rPr>
        <w:t xml:space="preserve">Ergebnis: </w:t>
      </w:r>
      <w:r>
        <w:t>Pro 10 μg/m³ Anstieg waren signifikant assoziiert: PM₂,₅ +2,22 YLL (95%-KI: 0,71–3,74); PM₁₀ +1,04 YLL (95%-KI: 0,17–1,91); SO₂ +5,05 YLL (95%-KI: 0,74–9,36); NO₂ +1,88 YLL (95%-KI: 0,09–3,66); O₃ +0,96 YLL (95%-KI: 0,14–1,78) auf lag0–1. Marginal höhere Effekte bei Männern, jüngeren Altersgruppen und höherer 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Subtropen – Methodik (DLNM) übertragbar, Absolutwerte und Bevölkerungsrisiko nicht</w:t>
      </w:r>
    </w:p>
    <w:p>
      <w:r>
        <w:rPr>
          <w:color w:val="5A7D3A"/>
          <w:sz w:val="18"/>
        </w:rPr>
        <w:t>https://pubmed.ncbi.nlm.nih.gov/42945340/</w:t>
      </w:r>
    </w:p>
    <w:p>
      <w:pPr>
        <w:pStyle w:val="Heading2"/>
      </w:pPr>
      <w:r>
        <w:t>Hitzebelastung schwächt autonome Reaktionen bei Typ-2-Diabetes und Hypertonie</w:t>
      </w:r>
    </w:p>
    <w:p>
      <w:r>
        <w:rPr>
          <w:i/>
          <w:color w:val="666666"/>
          <w:sz w:val="18"/>
        </w:rPr>
        <w:t>Rafieian M et al.  ·  PLoS One  ·  27.10.2026  ·  PMID 42945274</w:t>
      </w:r>
    </w:p>
    <w:p>
      <w:r>
        <w:t>Vergleichende Studie autonomer kardiovaskulärer Reaktionen unter 90 Minuten Hitzeexposition (40 °C, 50 % rel. Feuchte) bei 10 Patienten mit Typ-2-Diabetes + Hypertonie vs. 10 gesunden Kontrollen (Norwegen/Finnland).</w:t>
      </w:r>
    </w:p>
    <w:p>
      <w:r>
        <w:rPr>
          <w:b/>
        </w:rPr>
        <w:t xml:space="preserve">Ergebnis: </w:t>
      </w:r>
      <w:r>
        <w:t>Bei Hitzeexposition zeigte die Diabetes-Hypertonie-Gruppe bluntierte autonome Reaktionen: Herzfrequenzanstieg nur 5,43 bpm (~7 %) vs. 13,96 bpm (~22 %) in Kontrollen (p=0,014). HF-Power-Abfall 54,5 % vs. 74 % (p=0,038). Baroreflex-Sensitivität-Reduktion 25–35 % vs. 51–62 % (p≤0,034). Diese Patienten haben erhöhte Vulnerabilität für Temperaturextreme.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gemäßigte Zone, direkt übertragbar auf deutsche Risikogruppen</w:t>
      </w:r>
    </w:p>
    <w:p>
      <w:r>
        <w:rPr>
          <w:color w:val="5A7D3A"/>
          <w:sz w:val="18"/>
        </w:rPr>
        <w:t>https://pubmed.ncbi.nlm.nih.gov/42945274/</w:t>
      </w:r>
    </w:p>
    <w:p>
      <w:pPr>
        <w:pStyle w:val="Heading2"/>
      </w:pPr>
      <w:r>
        <w:t>Hitzewarnungen erhöhen ED-Besuche bei älteren und weiblichen Patienten</w:t>
      </w:r>
    </w:p>
    <w:p>
      <w:r>
        <w:rPr>
          <w:i/>
          <w:color w:val="666666"/>
          <w:sz w:val="18"/>
        </w:rPr>
        <w:t>Luque-García L et al.  ·  Environ Health  ·  28.07.2026  ·  PMID 42934648</w:t>
      </w:r>
    </w:p>
    <w:p>
      <w:r>
        <w:t>Analyse der Assoziationen zwischen Hitzewarnsystem und Notaufnahmebesuchen in Kalifornien (2012–2023): Hitzewarnungen zeigten Effekte auf Heat-related visits und vulnerable Gruppen.</w:t>
      </w:r>
    </w:p>
    <w:p>
      <w:r>
        <w:rPr>
          <w:b/>
        </w:rPr>
        <w:t xml:space="preserve">Ergebnis: </w:t>
      </w:r>
      <w:r>
        <w:t>Hitzewarnungen waren assoziiert mit 35,8 % erhöhten hitzebezogenen ED-Besuchen (95%-KI: 3,5–78,3) und 12,7 % Anstieg bei ≥65-Jährigen (95%-KI: 6,8–18,8). Warnungen zeigten hohe Spezifität, aber begrenzte Sensitivität. Heat-Advisories führten zu 2,1 % Anstieg aller ED-Besuche (95%-KI: 0,4–3,9).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gemäßigte bis subtropische Zone – Warnsystem-Wirksamkeit übertragbar auf Prinzipien, nicht auf Temperaturschwellen</w:t>
      </w:r>
    </w:p>
    <w:p>
      <w:r>
        <w:rPr>
          <w:color w:val="5A7D3A"/>
          <w:sz w:val="18"/>
        </w:rPr>
        <w:t>https://pubmed.ncbi.nlm.nih.gov/42934648/</w:t>
      </w:r>
    </w:p>
    <w:p>
      <w:pPr>
        <w:pStyle w:val="Heading2"/>
      </w:pPr>
      <w:r>
        <w:t>Lokale Behörden integrieren Klimaschutz-Gesundheit unzureichend in Policies</w:t>
      </w:r>
    </w:p>
    <w:p>
      <w:r>
        <w:rPr>
          <w:i/>
          <w:color w:val="666666"/>
          <w:sz w:val="18"/>
        </w:rPr>
        <w:t>Ga T et al.  ·  BMC Public Health  ·  31.07.2026  ·  PMID 42934642</w:t>
      </w:r>
    </w:p>
    <w:p>
      <w:r>
        <w:t>Qualitative Inhaltsanalyse von 129 Politikdokumenten aus 12 englischen Kommunalverwaltungen (4 Regionen) zur Frage, wie Klimamitigation und Gesundheitsziele in lokale Politikfelder (Wohnen, Verkehr, Grünraum, Hochwasserschutz) integriert sind.</w:t>
      </w:r>
    </w:p>
    <w:p>
      <w:r>
        <w:rPr>
          <w:b/>
        </w:rPr>
        <w:t xml:space="preserve">Ergebnis: </w:t>
      </w:r>
      <w:r>
        <w:t>Viele Interventionen mit Gesundheitspotential identifiziert (Verkehr, Wärmesanierung, Grünraum). Gesundheit wird aber selten als primäres Ziel formuliert, sondern meist als Co-Benefit erwähnt. Cross-sektorale Koordination variiert: stärker bei aktiver Mobilität, Wohnungsanpassung, Hochwasserresilienz; schwächer bei Luft und Ernährung. Keine Kommune hat eigenständigen Hitzeaktionsplan; Hitzemaßnahmen zerstreut über mehrere Dokumente. Schlussfolgerung: Stärkere Public-Health-Rahmung und Monitoring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gemäßigte Klimazone, vergleichbare Governance – Koordinationsdefizite auf Deutschland übertragbar</w:t>
      </w:r>
    </w:p>
    <w:p>
      <w:r>
        <w:rPr>
          <w:color w:val="5A7D3A"/>
          <w:sz w:val="18"/>
        </w:rPr>
        <w:t>https://pubmed.ncbi.nlm.nih.gov/42934642/</w:t>
      </w:r>
    </w:p>
    <w:p>
      <w:pPr>
        <w:pStyle w:val="Heading2"/>
      </w:pPr>
      <w:r>
        <w:t>Schulstaub zeigt Zytotoxizität und Pilzresistenzen – Kinderumweltgesundheit</w:t>
      </w:r>
    </w:p>
    <w:p>
      <w:r>
        <w:rPr>
          <w:i/>
          <w:color w:val="666666"/>
          <w:sz w:val="18"/>
        </w:rPr>
        <w:t>Cervantes R et al.  ·  Front Public Health  ·  07.10.2026  ·  PMID 42909002</w:t>
      </w:r>
    </w:p>
    <w:p>
      <w:r>
        <w:t>Multi-Matrix-Screening von Schulstaub in 11 portugiesischen Grundschulen (Lissabon-Metropolitan-Area; 207 passive Proben, 6 Orte, 2 Jahreszeiten) auf zytotoxische Aktivität und Pilzbelastung mittels MTT-Assay und Pilzkulturen.</w:t>
      </w:r>
    </w:p>
    <w:p>
      <w:r>
        <w:rPr>
          <w:b/>
        </w:rPr>
        <w:t xml:space="preserve">Ergebnis: </w:t>
      </w:r>
      <w:r>
        <w:t>Zytotoxische Aktivität in 64,7 % (A549-Zellen) und 24,6 % (SK-Zellen) der Proben nachgewiesen. Bodenproben zeigten höchste Raten (A549: 94,4 %; SK: 83,3 %). Kälteperiode höher (A549: 82,8 % vs. 50,0 %; p&lt;0,001). Antifungal-Resistenzen (Itraconazol, Voriconazol, Posaconazol) in Schulstaub-Isolaten detektiert. Sampling-Matrix war stärkster Prädiktor der Variabilität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Europa, vergleichbares Klima und Schulumfeld – übertragbar auf deutsche Schulen</w:t>
      </w:r>
    </w:p>
    <w:p>
      <w:r>
        <w:rPr>
          <w:color w:val="5A7D3A"/>
          <w:sz w:val="18"/>
        </w:rPr>
        <w:t>https://pubmed.ncbi.nlm.nih.gov/42909002/</w:t>
      </w:r>
    </w:p>
    <w:p>
      <w:pPr>
        <w:pStyle w:val="Heading2"/>
      </w:pPr>
      <w:r>
        <w:t>Klimawandel und Temperatur beeinflussen körperliche Aktivität</w:t>
      </w:r>
    </w:p>
    <w:p>
      <w:r>
        <w:rPr>
          <w:i/>
          <w:color w:val="666666"/>
          <w:sz w:val="18"/>
        </w:rPr>
        <w:t>Schneider S et al.  ·  Bundesgesundheitsblatt Gesundheitsforschung Gesundheitsschutz  ·  15.10.2026  ·  PMID 42878852</w:t>
      </w:r>
    </w:p>
    <w:p>
      <w:r>
        <w:t>Narrative Übersicht der Auswirkungen von Temperatur und Klimawandel auf das Bewegungsverhalten: Die körperliche Aktivität folgt einer invertierten U-Kurve mit Optimum bei 26–29 °C und sinkt bei hohen Temperaturen und Hitzewellen deutlich ab.</w:t>
      </w:r>
    </w:p>
    <w:p>
      <w:r>
        <w:rPr>
          <w:b/>
        </w:rPr>
        <w:t xml:space="preserve">Ergebnis: </w:t>
      </w:r>
      <w:r>
        <w:t>Der typische Zusammenhang zwischen Lufttemperatur und körperlicher Aktivität zeigt einen Scheitelpunkt bei etwa 26–29 °C. Bei Hitzewellen wird körperliche Aktivität deutlich eingeschränkt. Retrospektive Modellierungen sind zuverlässig, prospektive Projektionen für Deutschland zeigen jedoch widersprüchliche Ergebnisse zur Gesamttendenz.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gemäßigte Klimazone, direkter Bezug zu Hitzeaktionsplänen und Prävention</w:t>
      </w:r>
    </w:p>
    <w:p>
      <w:r>
        <w:rPr>
          <w:color w:val="5A7D3A"/>
          <w:sz w:val="18"/>
        </w:rPr>
        <w:t>https://pubmed.ncbi.nlm.nih.gov/42878852/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