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28.10.2026  |  401 Studien  |  klima.m-vf.de</w:t>
      </w:r>
    </w:p>
    <w:p>
      <w:pPr>
        <w:pStyle w:val="Heading1"/>
      </w:pPr>
      <w:r>
        <w:t>Aufgenommen am 28.10.2026</w:t>
      </w:r>
    </w:p>
    <w:p>
      <w:pPr>
        <w:pStyle w:val="Heading2"/>
      </w:pPr>
      <w:r>
        <w:t>Luftverschmutzung und Lebensjahrverlust durch Krebs in Shanghai</w:t>
      </w:r>
    </w:p>
    <w:p>
      <w:r>
        <w:rPr>
          <w:i/>
          <w:color w:val="666666"/>
          <w:sz w:val="18"/>
        </w:rPr>
        <w:t>Zhong X et al.  ·  PLoS One  ·  27.10.2026  ·  PMID 42945340</w:t>
      </w:r>
    </w:p>
    <w:p>
      <w:r>
        <w:t>Zeitreihenanalyse (2013–2021) der Kurzzeit-Effekte von Feinstaub, Schwefeldioxid, Stickstoffdioxid und Ozon auf krebsbedingte Lebensjahrverluste (YLL) in Shanghai (n=Todesdaten von 2013–2021).</w:t>
      </w:r>
    </w:p>
    <w:p>
      <w:r>
        <w:rPr>
          <w:b/>
        </w:rPr>
        <w:t xml:space="preserve">Ergebnis: </w:t>
      </w:r>
      <w:r>
        <w:t>Pro 10 μg/m³ Anstieg waren signifikant assoziiert: PM₂,₅ +2,22 YLL (95%-KI: 0,71–3,74); PM₁₀ +1,04 YLL (95%-KI: 0,17–1,91); SO₂ +5,05 YLL (95%-KI: 0,74–9,36); NO₂ +1,88 YLL (95%-KI: 0,09–3,66); O₃ +0,96 YLL (95%-KI: 0,14–1,78) auf lag0–1. Marginal höhere Effekte bei Männern, jüngeren Altersgruppen und höherer Bildung.</w:t>
      </w:r>
    </w:p>
    <w:p>
      <w:r>
        <w:rPr>
          <w:b/>
          <w:sz w:val="19"/>
        </w:rPr>
        <w:t xml:space="preserve">Übertragbarkeit: </w:t>
      </w:r>
      <w:r>
        <w:rPr>
          <w:sz w:val="19"/>
        </w:rPr>
        <w:t>China, Subtropen – Methodik (DLNM) übertragbar, Absolutwerte und Bevölkerungsrisiko nicht</w:t>
      </w:r>
    </w:p>
    <w:p>
      <w:r>
        <w:rPr>
          <w:color w:val="5A7D3A"/>
          <w:sz w:val="18"/>
        </w:rPr>
        <w:t>https://pubmed.ncbi.nlm.nih.gov/42945340/</w:t>
      </w:r>
    </w:p>
    <w:p>
      <w:pPr>
        <w:pStyle w:val="Heading2"/>
      </w:pPr>
      <w:r>
        <w:t>Hitzebelastung schwächt autonome Reaktionen bei Typ-2-Diabetes und Hypertonie</w:t>
      </w:r>
    </w:p>
    <w:p>
      <w:r>
        <w:rPr>
          <w:i/>
          <w:color w:val="666666"/>
          <w:sz w:val="18"/>
        </w:rPr>
        <w:t>Rafieian M et al.  ·  PLoS One  ·  27.10.2026  ·  PMID 42945274</w:t>
      </w:r>
    </w:p>
    <w:p>
      <w:r>
        <w:t>Vergleichende Studie autonomer kardiovaskulärer Reaktionen unter 90 Minuten Hitzeexposition (40 °C, 50 % rel. Feuchte) bei 10 Patienten mit Typ-2-Diabetes + Hypertonie vs. 10 gesunden Kontrollen (Norwegen/Finnland).</w:t>
      </w:r>
    </w:p>
    <w:p>
      <w:r>
        <w:rPr>
          <w:b/>
        </w:rPr>
        <w:t xml:space="preserve">Ergebnis: </w:t>
      </w:r>
      <w:r>
        <w:t>Bei Hitzeexposition zeigte die Diabetes-Hypertonie-Gruppe bluntierte autonome Reaktionen: Herzfrequenzanstieg nur 5,43 bpm (~7 %) vs. 13,96 bpm (~22 %) in Kontrollen (p=0,014). HF-Power-Abfall 54,5 % vs. 74 % (p=0,038). Baroreflex-Sensitivität-Reduktion 25–35 % vs. 51–62 % (p≤0,034). Diese Patienten haben erhöhte Vulnerabilität für Temperaturextreme.</w:t>
      </w:r>
    </w:p>
    <w:p>
      <w:r>
        <w:rPr>
          <w:b/>
          <w:sz w:val="19"/>
        </w:rPr>
        <w:t xml:space="preserve">Übertragbarkeit: </w:t>
      </w:r>
      <w:r>
        <w:rPr>
          <w:sz w:val="19"/>
        </w:rPr>
        <w:t>Nordeuropa, gemäßigte Zone, direkt übertragbar auf deutsche Risikogruppen</w:t>
      </w:r>
    </w:p>
    <w:p>
      <w:r>
        <w:rPr>
          <w:color w:val="5A7D3A"/>
          <w:sz w:val="18"/>
        </w:rPr>
        <w:t>https://pubmed.ncbi.nlm.nih.gov/42945274/</w:t>
      </w:r>
    </w:p>
    <w:p>
      <w:pPr>
        <w:pStyle w:val="Heading2"/>
      </w:pPr>
      <w:r>
        <w:t>Hitzewarnungen erhöhen ED-Besuche bei älteren und weiblichen Patienten</w:t>
      </w:r>
    </w:p>
    <w:p>
      <w:r>
        <w:rPr>
          <w:i/>
          <w:color w:val="666666"/>
          <w:sz w:val="18"/>
        </w:rPr>
        <w:t>Luque-García L et al.  ·  Environ Health  ·  28.07.2026  ·  PMID 42934648</w:t>
      </w:r>
    </w:p>
    <w:p>
      <w:r>
        <w:t>Analyse der Assoziationen zwischen Hitzewarnsystem und Notaufnahmebesuchen in Kalifornien (2012–2023): Hitzewarnungen zeigten Effekte auf Heat-related visits und vulnerable Gruppen.</w:t>
      </w:r>
    </w:p>
    <w:p>
      <w:r>
        <w:rPr>
          <w:b/>
        </w:rPr>
        <w:t xml:space="preserve">Ergebnis: </w:t>
      </w:r>
      <w:r>
        <w:t>Hitzewarnungen waren assoziiert mit 35,8 % erhöhten hitzebezogenen ED-Besuchen (95%-KI: 3,5–78,3) und 12,7 % Anstieg bei ≥65-Jährigen (95%-KI: 6,8–18,8). Warnungen zeigten hohe Spezifität, aber begrenzte Sensitivität. Heat-Advisories führten zu 2,1 % Anstieg aller ED-Besuche (95%-KI: 0,4–3,9).</w:t>
      </w:r>
    </w:p>
    <w:p>
      <w:r>
        <w:rPr>
          <w:b/>
          <w:sz w:val="19"/>
        </w:rPr>
        <w:t xml:space="preserve">Übertragbarkeit: </w:t>
      </w:r>
      <w:r>
        <w:rPr>
          <w:sz w:val="19"/>
        </w:rPr>
        <w:t>USA, gemäßigte bis subtropische Zone – Warnsystem-Wirksamkeit übertragbar auf Prinzipien, nicht auf Temperaturschwellen</w:t>
      </w:r>
    </w:p>
    <w:p>
      <w:r>
        <w:rPr>
          <w:color w:val="5A7D3A"/>
          <w:sz w:val="18"/>
        </w:rPr>
        <w:t>https://pubmed.ncbi.nlm.nih.gov/42934648/</w:t>
      </w:r>
    </w:p>
    <w:p>
      <w:pPr>
        <w:pStyle w:val="Heading2"/>
      </w:pPr>
      <w:r>
        <w:t>Lokale Behörden integrieren Klimaschutz-Gesundheit unzureichend in Policies</w:t>
      </w:r>
    </w:p>
    <w:p>
      <w:r>
        <w:rPr>
          <w:i/>
          <w:color w:val="666666"/>
          <w:sz w:val="18"/>
        </w:rPr>
        <w:t>Ga T et al.  ·  BMC Public Health  ·  31.07.2026  ·  PMID 42934642</w:t>
      </w:r>
    </w:p>
    <w:p>
      <w:r>
        <w:t>Qualitative Inhaltsanalyse von 129 Politikdokumenten aus 12 englischen Kommunalverwaltungen (4 Regionen) zur Frage, wie Klimamitigation und Gesundheitsziele in lokale Politikfelder (Wohnen, Verkehr, Grünraum, Hochwasserschutz) integriert sind.</w:t>
      </w:r>
    </w:p>
    <w:p>
      <w:r>
        <w:rPr>
          <w:b/>
        </w:rPr>
        <w:t xml:space="preserve">Ergebnis: </w:t>
      </w:r>
      <w:r>
        <w:t>Viele Interventionen mit Gesundheitspotential identifiziert (Verkehr, Wärmesanierung, Grünraum). Gesundheit wird aber selten als primäres Ziel formuliert, sondern meist als Co-Benefit erwähnt. Cross-sektorale Koordination variiert: stärker bei aktiver Mobilität, Wohnungsanpassung, Hochwasserresilienz; schwächer bei Luft und Ernährung. Keine Kommune hat eigenständigen Hitzeaktionsplan; Hitzemaßnahmen zerstreut über mehrere Dokumente. Schlussfolgerung: Stärkere Public-Health-Rahmung und Monitoring erforderlich.</w:t>
      </w:r>
    </w:p>
    <w:p>
      <w:r>
        <w:rPr>
          <w:b/>
          <w:sz w:val="19"/>
        </w:rPr>
        <w:t xml:space="preserve">Übertragbarkeit: </w:t>
      </w:r>
      <w:r>
        <w:rPr>
          <w:sz w:val="19"/>
        </w:rPr>
        <w:t>England, gemäßigte Klimazone, vergleichbare Governance – Koordinationsdefizite auf Deutschland übertragbar</w:t>
      </w:r>
    </w:p>
    <w:p>
      <w:r>
        <w:rPr>
          <w:color w:val="5A7D3A"/>
          <w:sz w:val="18"/>
        </w:rPr>
        <w:t>https://pubmed.ncbi.nlm.nih.gov/42934642/</w:t>
      </w:r>
    </w:p>
    <w:p>
      <w:pPr>
        <w:pStyle w:val="Heading2"/>
      </w:pPr>
      <w:r>
        <w:t>Schulstaub zeigt Zytotoxizität und Pilzresistenzen – Kinderumweltgesundheit</w:t>
      </w:r>
    </w:p>
    <w:p>
      <w:r>
        <w:rPr>
          <w:i/>
          <w:color w:val="666666"/>
          <w:sz w:val="18"/>
        </w:rPr>
        <w:t>Cervantes R et al.  ·  Front Public Health  ·  07.10.2026  ·  PMID 42909002</w:t>
      </w:r>
    </w:p>
    <w:p>
      <w:r>
        <w:t>Multi-Matrix-Screening von Schulstaub in 11 portugiesischen Grundschulen (Lissabon-Metropolitan-Area; 207 passive Proben, 6 Orte, 2 Jahreszeiten) auf zytotoxische Aktivität und Pilzbelastung mittels MTT-Assay und Pilzkulturen.</w:t>
      </w:r>
    </w:p>
    <w:p>
      <w:r>
        <w:rPr>
          <w:b/>
        </w:rPr>
        <w:t xml:space="preserve">Ergebnis: </w:t>
      </w:r>
      <w:r>
        <w:t>Zytotoxische Aktivität in 64,7 % (A549-Zellen) und 24,6 % (SK-Zellen) der Proben nachgewiesen. Bodenproben zeigten höchste Raten (A549: 94,4 %; SK: 83,3 %). Kälteperiode höher (A549: 82,8 % vs. 50,0 %; p&lt;0,001). Antifungal-Resistenzen (Itraconazol, Voriconazol, Posaconazol) in Schulstaub-Isolaten detektiert. Sampling-Matrix war stärkster Prädiktor der Variabilität (p&lt;0,001).</w:t>
      </w:r>
    </w:p>
    <w:p>
      <w:r>
        <w:rPr>
          <w:b/>
          <w:sz w:val="19"/>
        </w:rPr>
        <w:t xml:space="preserve">Übertragbarkeit: </w:t>
      </w:r>
      <w:r>
        <w:rPr>
          <w:sz w:val="19"/>
        </w:rPr>
        <w:t>Portugal, Europa, vergleichbares Klima und Schulumfeld – übertragbar auf deutsche Schulen</w:t>
      </w:r>
    </w:p>
    <w:p>
      <w:r>
        <w:rPr>
          <w:color w:val="5A7D3A"/>
          <w:sz w:val="18"/>
        </w:rPr>
        <w:t>https://pubmed.ncbi.nlm.nih.gov/42909002/</w:t>
      </w:r>
    </w:p>
    <w:p>
      <w:pPr>
        <w:pStyle w:val="Heading2"/>
      </w:pPr>
      <w:r>
        <w:t>Klimawandel und Temperatur beeinflussen körperliche Aktivität</w:t>
      </w:r>
    </w:p>
    <w:p>
      <w:r>
        <w:rPr>
          <w:i/>
          <w:color w:val="666666"/>
          <w:sz w:val="18"/>
        </w:rPr>
        <w:t>Schneider S et al.  ·  Bundesgesundheitsblatt Gesundheitsforschung Gesundheitsschutz  ·  15.10.2026  ·  PMID 42878852</w:t>
      </w:r>
    </w:p>
    <w:p>
      <w:r>
        <w:t>Narrative Übersicht der Auswirkungen von Temperatur und Klimawandel auf das Bewegungsverhalten: Die körperliche Aktivität folgt einer invertierten U-Kurve mit Optimum bei 26–29 °C und sinkt bei hohen Temperaturen und Hitzewellen deutlich ab.</w:t>
      </w:r>
    </w:p>
    <w:p>
      <w:r>
        <w:rPr>
          <w:b/>
        </w:rPr>
        <w:t xml:space="preserve">Ergebnis: </w:t>
      </w:r>
      <w:r>
        <w:t>Der typische Zusammenhang zwischen Lufttemperatur und körperlicher Aktivität zeigt einen Scheitelpunkt bei etwa 26–29 °C. Bei Hitzewellen wird körperliche Aktivität deutlich eingeschränkt. Retrospektive Modellierungen sind zuverlässig, prospektive Projektionen für Deutschland zeigen jedoch widersprüchliche Ergebnisse zur Gesamttendenz.</w:t>
      </w:r>
    </w:p>
    <w:p>
      <w:r>
        <w:rPr>
          <w:b/>
          <w:sz w:val="19"/>
        </w:rPr>
        <w:t xml:space="preserve">Übertragbarkeit: </w:t>
      </w:r>
      <w:r>
        <w:rPr>
          <w:sz w:val="19"/>
        </w:rPr>
        <w:t>Deutschland, gemäßigte Klimazone, direkter Bezug zu Hitzeaktionsplänen und Prävention</w:t>
      </w:r>
    </w:p>
    <w:p>
      <w:r>
        <w:rPr>
          <w:color w:val="5A7D3A"/>
          <w:sz w:val="18"/>
        </w:rPr>
        <w:t>https://pubmed.ncbi.nlm.nih.gov/42878852/</w:t>
      </w:r>
    </w:p>
    <w:p>
      <w:pPr>
        <w:pStyle w:val="Heading1"/>
      </w:pPr>
      <w:r>
        <w:t>Aufgenommen am 27.10.2026</w:t>
      </w:r>
    </w:p>
    <w:p>
      <w:pPr>
        <w:pStyle w:val="Heading2"/>
      </w:pPr>
      <w:r>
        <w:t>Geburtsgewicht und Klimafaktoren: Frühwarnsystem in Westafrika</w:t>
      </w:r>
    </w:p>
    <w:p>
      <w:r>
        <w:rPr>
          <w:i/>
          <w:color w:val="666666"/>
          <w:sz w:val="18"/>
        </w:rPr>
        <w:t>Shukla S et al.  ·  Proc Natl Acad Sci U S A  ·  03.11.2026  ·  PMID 42932648</w:t>
      </w:r>
    </w:p>
    <w:p>
      <w:r>
        <w:t>Testung von Prognosemodellen für niedriges Geburtsgewicht unter Nutzung subsaisonaler bis saisonaler Klimavariablen und sozioökonomischer Indikatoren in Burkina Faso, Mali und Senegal.</w:t>
      </w:r>
    </w:p>
    <w:p>
      <w:r>
        <w:rPr>
          <w:b/>
        </w:rPr>
        <w:t xml:space="preserve">Ergebnis: </w:t>
      </w:r>
      <w:r>
        <w:t>Modelle mit vollständigen DHS-Variablen zeigten Vorhersagefehler von 13,5–25 %. Reine Klimamodelle erreichten vergleichbare Genauigkeit (1–5 % Abweichung). Höchste Vorhersagekraft für Kinder mit maximaler pränataler Exposition in der Trockenzeit (Aussaat-Ernteperiode).</w:t>
      </w:r>
    </w:p>
    <w:p>
      <w:r>
        <w:rPr>
          <w:b/>
          <w:sz w:val="19"/>
        </w:rPr>
        <w:t xml:space="preserve">Übertragbarkeit: </w:t>
      </w:r>
      <w:r>
        <w:rPr>
          <w:sz w:val="19"/>
        </w:rPr>
        <w:t>Subsahara-Afrika, Tropen – nur Modellierungsmethodik übertragbar, nicht die Schwellenwerte.</w:t>
      </w:r>
    </w:p>
    <w:p>
      <w:r>
        <w:rPr>
          <w:color w:val="5A7D3A"/>
          <w:sz w:val="18"/>
        </w:rPr>
        <w:t>https://pubmed.ncbi.nlm.nih.gov/42932648/</w:t>
      </w:r>
    </w:p>
    <w:p>
      <w:pPr>
        <w:pStyle w:val="Heading2"/>
      </w:pPr>
      <w:r>
        <w:t>Thermischer Komfort auf Schulhöfen: Strategien gegen Hitzebelastung</w:t>
      </w:r>
    </w:p>
    <w:p>
      <w:r>
        <w:rPr>
          <w:i/>
          <w:color w:val="666666"/>
          <w:sz w:val="18"/>
        </w:rPr>
        <w:t>Sadeghian G et al.  ·  Int J Biometeorol  ·  26.10.2026  ·  PMID 42931950</w:t>
      </w:r>
    </w:p>
    <w:p>
      <w:r>
        <w:t>Systematische Übersicht von 35 Studien (2015–2025) über thermischen Komfort im Freien an Schulen unter Bedingungen von Hitzeextremen und Klimawandel.</w:t>
      </w:r>
    </w:p>
    <w:p>
      <w:r>
        <w:rPr>
          <w:b/>
        </w:rPr>
        <w:t xml:space="preserve">Ergebnis: </w:t>
      </w:r>
      <w:r>
        <w:t>Vegetation und Beschattung sind die wirksamsten Minderungsmaßnahmen gegen Sommerhitze auf Schulhöfen. Der Fokus liegt auf Mittelmeerraum und feuchten Subtropen; Studien kombinieren Feldmessungen mit numerischen Simulationen und zunehmend subjektive Verhaltensmaße.</w:t>
      </w:r>
    </w:p>
    <w:p>
      <w:r>
        <w:rPr>
          <w:b/>
          <w:sz w:val="19"/>
        </w:rPr>
        <w:t xml:space="preserve">Übertragbarkeit: </w:t>
      </w:r>
      <w:r>
        <w:rPr>
          <w:sz w:val="19"/>
        </w:rPr>
        <w:t>Mittelmeerländer und subtropische Zonen – Temperaturschwellen nicht auf Deutschland übertragbar; Methodik der Intervention relevant.</w:t>
      </w:r>
    </w:p>
    <w:p>
      <w:r>
        <w:rPr>
          <w:color w:val="5A7D3A"/>
          <w:sz w:val="18"/>
        </w:rPr>
        <w:t>https://pubmed.ncbi.nlm.nih.gov/42931950/</w:t>
      </w:r>
    </w:p>
    <w:p>
      <w:pPr>
        <w:pStyle w:val="Heading2"/>
      </w:pPr>
      <w:r>
        <w:t>Globale Ozonbelastung: 500.000 zusätzliche COPD-Todesfälle bis 2020</w:t>
      </w:r>
    </w:p>
    <w:p>
      <w:r>
        <w:rPr>
          <w:i/>
          <w:color w:val="666666"/>
          <w:sz w:val="18"/>
        </w:rPr>
        <w:t>Kerr GH et al.  ·  Philos Trans A Math Phys Eng Sci  ·  26.10.2026  ·  PMID 42929037</w:t>
      </w:r>
    </w:p>
    <w:p>
      <w:r>
        <w:t>Metaanalyse der weltweiten Ozonkonzentrationen und ihrer Auswirkungen auf chronische Atemwegserkrankungen von 2000 bis 2020.</w:t>
      </w:r>
    </w:p>
    <w:p>
      <w:r>
        <w:rPr>
          <w:b/>
        </w:rPr>
        <w:t xml:space="preserve">Ergebnis: </w:t>
      </w:r>
      <w:r>
        <w:t>Die attributablen Todesfälle durch chronische Ozonexposition verdoppelten sich von 2000 bis 2020 auf etwa 500.000 Todesfälle pro Jahr global. Während Nordamerika und Europa sinkende Mortalität zeigten, stiegen die Todesfälle im Globalen Süden deutlich an.</w:t>
      </w:r>
    </w:p>
    <w:p>
      <w:r>
        <w:rPr>
          <w:b/>
          <w:sz w:val="19"/>
        </w:rPr>
        <w:t xml:space="preserve">Übertragbarkeit: </w:t>
      </w:r>
      <w:r>
        <w:rPr>
          <w:sz w:val="19"/>
        </w:rPr>
        <w:t>Globale Trends; Europa mit Verbesserungen – nur die Methodik zur Quantifizierung von Umweltlasten übertragbar.</w:t>
      </w:r>
    </w:p>
    <w:p>
      <w:r>
        <w:rPr>
          <w:color w:val="5A7D3A"/>
          <w:sz w:val="18"/>
        </w:rPr>
        <w:t>https://pubmed.ncbi.nlm.nih.gov/42929037/</w:t>
      </w:r>
    </w:p>
    <w:p>
      <w:pPr>
        <w:pStyle w:val="Heading2"/>
      </w:pPr>
      <w:r>
        <w:t>Soziale Schutzprogramme und Klimaresilienz informeller Arbeiter in Pakistan</w:t>
      </w:r>
    </w:p>
    <w:p>
      <w:r>
        <w:rPr>
          <w:i/>
          <w:color w:val="666666"/>
          <w:sz w:val="18"/>
        </w:rPr>
        <w:t>Khattak MI et al.  ·  BMC Public Health  ·  29.07.2026  ·  PMID 42928157</w:t>
      </w:r>
    </w:p>
    <w:p>
      <w:r>
        <w:t>Qualitative phänomenologische Studie mit 30 Interviews und 6 Fokusgruppen zur Rolle von Sozialschutzprogrammen für Klimaresilienz informeller Arbeiter in drei Klimazonen Khyber Pakhtunkwas.</w:t>
      </w:r>
    </w:p>
    <w:p>
      <w:r>
        <w:rPr>
          <w:b/>
        </w:rPr>
        <w:t xml:space="preserve">Ergebnis: </w:t>
      </w:r>
      <w:r>
        <w:t>Fünf Themenkomplexe identifiziert: unzureichende flexible Finanzhilfen, Zugangsbarrieren zu Sozialhilfe, geschlechtsspezifische Hemmnisse, informelle Anpassungsstrategien (soziale Netzwerke, gegenseitige Hilfe) und Bedarf für klimasensitive Programme. Bestehende Systeme bieten kritische, aber begrenzte Hilfe.</w:t>
      </w:r>
    </w:p>
    <w:p>
      <w:r>
        <w:rPr>
          <w:b/>
          <w:sz w:val="19"/>
        </w:rPr>
        <w:t xml:space="preserve">Übertragbarkeit: </w:t>
      </w:r>
      <w:r>
        <w:rPr>
          <w:sz w:val="19"/>
        </w:rPr>
        <w:t>Pakistan, Südasien – Struktur und Gendered-Aspekte informeller Resilienz relevant, nicht absolute Ressourcenniveaus.</w:t>
      </w:r>
    </w:p>
    <w:p>
      <w:r>
        <w:rPr>
          <w:color w:val="5A7D3A"/>
          <w:sz w:val="18"/>
        </w:rPr>
        <w:t>https://pubmed.ncbi.nlm.nih.gov/42928157/</w:t>
      </w:r>
    </w:p>
    <w:p>
      <w:pPr>
        <w:pStyle w:val="Heading2"/>
      </w:pPr>
      <w:r>
        <w:t>Extremhitze bei Erwachsenen: Pflegeverantwortung und Gesundheitsrisiken</w:t>
      </w:r>
    </w:p>
    <w:p>
      <w:r>
        <w:rPr>
          <w:i/>
          <w:color w:val="666666"/>
          <w:sz w:val="18"/>
        </w:rPr>
        <w:t>Bernhardt JM  ·  Nurs Clin North Am  ·  09.07.2026  ·  PMID 42919507</w:t>
      </w:r>
    </w:p>
    <w:p>
      <w:r>
        <w:t>Narrative Übersichtsarbeit zur Pathophysiologie von Hitze, Gesundheitsfolgen, Vulnerabilität und Implikationen für Pflegefachpersonen.</w:t>
      </w:r>
    </w:p>
    <w:p>
      <w:r>
        <w:rPr>
          <w:b/>
        </w:rPr>
        <w:t xml:space="preserve">Ergebnis: </w:t>
      </w:r>
      <w:r>
        <w:t>Extremhitze ist eine der unmittelbarsten und tödlichsten Gesundheitsbedrohungen des Klimawandels. Besonders gefährdet sind Erwachsene mit chronischen Erkrankungen, beruflicher Hitzeexposition, niedriger Sozioökonomie oder eingeschränktem Kühlungszugang. Hitzewellen werden häufiger, intensiver und länger.</w:t>
      </w:r>
    </w:p>
    <w:p>
      <w:r>
        <w:rPr>
          <w:b/>
          <w:sz w:val="19"/>
        </w:rPr>
        <w:t xml:space="preserve">Übertragbarkeit: </w:t>
      </w:r>
      <w:r>
        <w:rPr>
          <w:sz w:val="19"/>
        </w:rPr>
        <w:t>Konzeptionelle Arbeit zu Hitze-Pathophysiologie; gemäßigte Klimazonen und Deutschland relevant für Risikogruppen-Definition.</w:t>
      </w:r>
    </w:p>
    <w:p>
      <w:r>
        <w:rPr>
          <w:color w:val="5A7D3A"/>
          <w:sz w:val="18"/>
        </w:rPr>
        <w:t>https://pubmed.ncbi.nlm.nih.gov/42919507/</w:t>
      </w:r>
    </w:p>
    <w:p>
      <w:pPr>
        <w:pStyle w:val="Heading2"/>
      </w:pPr>
      <w:r>
        <w:t>Chagas-Vektor breitet sich in Mexiko aus: Klimawandel treibt Arealausweitung</w:t>
      </w:r>
    </w:p>
    <w:p>
      <w:r>
        <w:rPr>
          <w:i/>
          <w:color w:val="666666"/>
          <w:sz w:val="18"/>
        </w:rPr>
        <w:t>Carbajal-Olivier BI et al.  ·  Mem Inst Oswaldo Cruz  ·  16.10.2026  ·  PMID 42912046</w:t>
      </w:r>
    </w:p>
    <w:p>
      <w:r>
        <w:t>Molekulare und epidemiologische Identifikation von Triatoma-Arten in neuen Regionen Oaxacas und Dokumentation der geografischen Ausbreitung in Zusammenhang mit Klimawandel, Urbanisierung und Migration.</w:t>
      </w:r>
    </w:p>
    <w:p>
      <w:r>
        <w:rPr>
          <w:b/>
        </w:rPr>
        <w:t xml:space="preserve">Ergebnis: </w:t>
      </w:r>
      <w:r>
        <w:t>Zwei Triatominae-Spezies wurden erstmals in La-Cañada-Region gemeldet. Die Arealausweitung erhöht das Infektionsrisiko in bisher nicht endemischen Gebieten, insbesondere angesichts der höheren CD-Prävalenz in Oaxaca.</w:t>
      </w:r>
    </w:p>
    <w:p>
      <w:r>
        <w:rPr>
          <w:b/>
          <w:sz w:val="19"/>
        </w:rPr>
        <w:t xml:space="preserve">Übertragbarkeit: </w:t>
      </w:r>
      <w:r>
        <w:rPr>
          <w:sz w:val="19"/>
        </w:rPr>
        <w:t>Lateinamerika, Mexiko – zeigt prinzipielle Vektor-Ausbreitung durch Klimawandel, Übertragbarkeit auf globale Südregionen.</w:t>
      </w:r>
    </w:p>
    <w:p>
      <w:r>
        <w:rPr>
          <w:color w:val="5A7D3A"/>
          <w:sz w:val="18"/>
        </w:rPr>
        <w:t>https://pubmed.ncbi.nlm.nih.gov/42912046/</w:t>
      </w:r>
    </w:p>
    <w:p>
      <w:pPr>
        <w:pStyle w:val="Heading1"/>
      </w:pPr>
      <w:r>
        <w:t>Aufgenommen am 26.10.2026</w:t>
      </w:r>
    </w:p>
    <w:p>
      <w:pPr>
        <w:pStyle w:val="Heading2"/>
      </w:pPr>
      <w:r>
        <w:t>Leptospirose in der Landwirtschaft: Klimawandel und Wasserkontamination als Risikofaktoren</w:t>
      </w:r>
    </w:p>
    <w:p>
      <w:r>
        <w:rPr>
          <w:i/>
          <w:color w:val="666666"/>
          <w:sz w:val="18"/>
        </w:rPr>
        <w:t>Tiraboschi MM et al.  ·  Med Lav  ·  23.10.2026  ·  PMID 42925048</w:t>
      </w:r>
    </w:p>
    <w:p>
      <w:r>
        <w:t>Fallbericht und Surveillance einer tödlichen beruflichen Leptospirose in Oberitalien mit Analyse von Klimawandel-Expositionen: Bei 16 bestätigten Fällen über 22 Monate traten 3 Todesfälle (18,8%) und 1 Behinderungsfall (6,3%) auf, 75% hatten agrarnumweltliche Expositionen.</w:t>
      </w:r>
    </w:p>
    <w:p>
      <w:r>
        <w:rPr>
          <w:b/>
        </w:rPr>
        <w:t xml:space="preserve">Ergebnis: </w:t>
      </w:r>
      <w:r>
        <w:t>Unter 16 Leptospirose-Fällen in der Lombardei betrug die Überlebensrate ohne Langzeitkomplikationen 75% (12 Fälle mit agrar-umweltlichem Bezug); Schwere-Komplikationsrate 25,0% (3 Todesfälle + 1 Invalidität). Der Klimawandel wird die europäische Ausbreitungszone und Transmissionssaison erweitern.</w:t>
      </w:r>
    </w:p>
    <w:p>
      <w:r>
        <w:rPr>
          <w:b/>
          <w:sz w:val="19"/>
        </w:rPr>
        <w:t xml:space="preserve">Übertragbarkeit: </w:t>
      </w:r>
      <w:r>
        <w:rPr>
          <w:sz w:val="19"/>
        </w:rPr>
        <w:t>Oberitalien, gemäßigte Klimazone, One-Health-Ansatz auf Deutschland übertragbar</w:t>
      </w:r>
    </w:p>
    <w:p>
      <w:r>
        <w:rPr>
          <w:color w:val="5A7D3A"/>
          <w:sz w:val="18"/>
        </w:rPr>
        <w:t>https://pubmed.ncbi.nlm.nih.gov/42925048/</w:t>
      </w:r>
    </w:p>
    <w:p>
      <w:pPr>
        <w:pStyle w:val="Heading2"/>
      </w:pPr>
      <w:r>
        <w:t>Luftverschmutzung beeinträchtigt Herzfrequenzvariabilität und Lungenfunktion bei Schulkindern</w:t>
      </w:r>
    </w:p>
    <w:p>
      <w:r>
        <w:rPr>
          <w:i/>
          <w:color w:val="666666"/>
          <w:sz w:val="18"/>
        </w:rPr>
        <w:t>Oliveira FR et al.  ·  Epidemiol Serv Saude  ·  17.06.2026  ·  PMID 42922790</w:t>
      </w:r>
    </w:p>
    <w:p>
      <w:r>
        <w:t>Querschnittsuntersuchung an 77 Schulkindern in der hochbelasteten Stadt Cubatão (Brasilien) zu Auswirkungen von Luftverschmutzung auf Herzfrequenzvariabilität (HFnu) und Lungenfunktion (FEV1, FEF25-75%).</w:t>
      </w:r>
    </w:p>
    <w:p>
      <w:r>
        <w:rPr>
          <w:b/>
        </w:rPr>
        <w:t xml:space="preserve">Ergebnis: </w:t>
      </w:r>
      <w:r>
        <w:t>Erhöhtes Schwefeldioxid assoziiert mit HFnu-Reduktion: -0,68 (95%-KI -1,27; -0,11) täglich, -0,67 über 2 Tage, -1,29 über 3 Tage (p&lt;0,001). Ozon: HFnu-Reduktion -0,32 (95%-KI -0,62; -0,02). Stickstoffdioxid: FEV1-Reduktion 0,23%, FEF25-75%-Reduktion 0,30%. Luftverschmutzung reduzierte messbar Herzfrequenzvariabilität und Lungenfunktion.</w:t>
      </w:r>
    </w:p>
    <w:p>
      <w:r>
        <w:rPr>
          <w:b/>
          <w:sz w:val="19"/>
        </w:rPr>
        <w:t xml:space="preserve">Übertragbarkeit: </w:t>
      </w:r>
      <w:r>
        <w:rPr>
          <w:sz w:val="19"/>
        </w:rPr>
        <w:t>Tropen (Brasilien) – nur Methodik übertragbar, nicht Schwellenwerte oder Anpassungsniveaus</w:t>
      </w:r>
    </w:p>
    <w:p>
      <w:r>
        <w:rPr>
          <w:color w:val="5A7D3A"/>
          <w:sz w:val="18"/>
        </w:rPr>
        <w:t>https://pubmed.ncbi.nlm.nih.gov/42922790/</w:t>
      </w:r>
    </w:p>
    <w:p>
      <w:pPr>
        <w:pStyle w:val="Heading2"/>
      </w:pPr>
      <w:r>
        <w:t>Klima, Luftverschmutzung und Extremereignisse bestimmen Influenza-Risiko</w:t>
      </w:r>
    </w:p>
    <w:p>
      <w:r>
        <w:rPr>
          <w:i/>
          <w:color w:val="666666"/>
          <w:sz w:val="18"/>
        </w:rPr>
        <w:t>Ding E et al.  ·  Environ Sci Technol  ·  22.09.2026  ·  PMID 42916219</w:t>
      </w:r>
    </w:p>
    <w:p>
      <w:r>
        <w:t>Fall-Crossover-Studie mit 630.120 Influenza-positiven Fällen aus 335 chinesischen Städten (2005–2019): Verteilte Lag-Nichtlinear-Modelle quantifizierten Exposition-Lag-Response-Beziehungen; Machine-Learning und LSTM-Modelle integrierten Extremereignisse in Prognosen.</w:t>
      </w:r>
    </w:p>
    <w:p>
      <w:r>
        <w:rPr>
          <w:b/>
        </w:rPr>
        <w:t xml:space="preserve">Ergebnis: </w:t>
      </w:r>
      <w:r>
        <w:t>Meteorologische Variablen, Luftverschmutzung und Extremereignisse signifikant assoziiert mit Influenza-Risiko. Machine-Learning identifizierte atmosphärische Temperatur, Luftfeuchte und Feinstoffpartikel als Hauptfaktoren. Co-Exposition gegenüber Extremereignissen zeigte höheres gemeinsames Risiko als Einzelexposition (submultiplikative Interaktion, keine additive). LSTM-Modell mit Extremereignissen verbesserte Influenza-Prognosegenauigkeit signifikant. Heterogene geografische Effekte und Subtyp-Variationen beobachtet.</w:t>
      </w:r>
    </w:p>
    <w:p>
      <w:r>
        <w:rPr>
          <w:b/>
          <w:sz w:val="19"/>
        </w:rPr>
        <w:t xml:space="preserve">Übertragbarkeit: </w:t>
      </w:r>
      <w:r>
        <w:rPr>
          <w:sz w:val="19"/>
        </w:rPr>
        <w:t>China (Subtropen/gemäßigt) – Methodologie und Extreme-Event-Integration übertragbar, nicht absolute Schwellenwerte</w:t>
      </w:r>
    </w:p>
    <w:p>
      <w:r>
        <w:rPr>
          <w:color w:val="5A7D3A"/>
          <w:sz w:val="18"/>
        </w:rPr>
        <w:t>https://pubmed.ncbi.nlm.nih.gov/42916219/</w:t>
      </w:r>
    </w:p>
    <w:p>
      <w:pPr>
        <w:pStyle w:val="Heading2"/>
      </w:pPr>
      <w:r>
        <w:t>Waldbrandrauch und Sterblichkeit: Kohlenstoffkomponenten erhöhen Risiko pro Masseeinheit</w:t>
      </w:r>
    </w:p>
    <w:p>
      <w:r>
        <w:rPr>
          <w:i/>
          <w:color w:val="666666"/>
          <w:sz w:val="18"/>
        </w:rPr>
        <w:t>Jin Z et al.  ·  Environ Sci Technol  ·  13.10.2026  ·  PMID 42915998</w:t>
      </w:r>
    </w:p>
    <w:p>
      <w:r>
        <w:t>Kohortenstudie mit 77,47 Mio. Medicare-Versicherten (2002–2019): Langzeitexposition gegenüber Rauch-PM2.5 und dessen Kohlenstoffanteil wurde mit Gesamtsterblichkeit verknüpft mittels stratifizierter Cox-Modelle.</w:t>
      </w:r>
    </w:p>
    <w:p>
      <w:r>
        <w:rPr>
          <w:b/>
        </w:rPr>
        <w:t xml:space="preserve">Ergebnis: </w:t>
      </w:r>
      <w:r>
        <w:t>Pro 1 μg/m³ Rauch-PM2.5 Hazard Ratio 1,032 (95%-KI 1,027–1,037); für Rauch-Kohlenstoffkomponenten 1,087 (1,076–1,098). Zurechenbare jährliche Todesfälle 22.420, Kohlenstoffanteil trägt Mehrheit der Last. Stärkere Assoziationen bei Schwarzen und anderen Minderheiten sowie Medicaid-Versicherten. Rauch-PM2.5 zeigt pro Masseeinheit höhere Toxizität als Nicht-Rauch-PM2.5.</w:t>
      </w:r>
    </w:p>
    <w:p>
      <w:r>
        <w:rPr>
          <w:b/>
          <w:sz w:val="19"/>
        </w:rPr>
        <w:t xml:space="preserve">Übertragbarkeit: </w:t>
      </w:r>
      <w:r>
        <w:rPr>
          <w:sz w:val="19"/>
        </w:rPr>
        <w:t>USA, andere gemäßigte Breitengrade; Rauchbelastung in Deutschland bisher gering, aber Waldbrände häufiger</w:t>
      </w:r>
    </w:p>
    <w:p>
      <w:r>
        <w:rPr>
          <w:color w:val="5A7D3A"/>
          <w:sz w:val="18"/>
        </w:rPr>
        <w:t>https://pubmed.ncbi.nlm.nih.gov/42915998/</w:t>
      </w:r>
    </w:p>
    <w:p>
      <w:pPr>
        <w:pStyle w:val="Heading2"/>
      </w:pPr>
      <w:r>
        <w:t>Schulbelüftung nach COVID-19: Hürden und mangelnde Ausstattung in Südspanien</w:t>
      </w:r>
    </w:p>
    <w:p>
      <w:r>
        <w:rPr>
          <w:i/>
          <w:color w:val="666666"/>
          <w:sz w:val="18"/>
        </w:rPr>
        <w:t>Martínez JA et al.  ·  Rev Esp Salud Publica  ·  20.10.2026  ·  PMID 42904444</w:t>
      </w:r>
    </w:p>
    <w:p>
      <w:r>
        <w:t>Querschnittsstudie unter 91 Schulleitern in Murcia zur Compliance mit Lüftungsmaßnahmen: 77% der Schulen fehlten HVAC-Systeme oder CO₂-Sensoren; durchschnittliche Compliance-Werte 0,71 (2023/24) und 0,76 (2024/25).</w:t>
      </w:r>
    </w:p>
    <w:p>
      <w:r>
        <w:rPr>
          <w:b/>
        </w:rPr>
        <w:t xml:space="preserve">Ergebnis: </w:t>
      </w:r>
      <w:r>
        <w:t>77% der Schulen ohne technische Lüftungsausstattung; Compliance-Scores auf Skala [0,1]: durchschnittlich 0,71 im Schuljahr 2023/24 und 0,76 für 2024/25. Haupthürden: Wärmekomfort, Außenlärm, Lehrerkooperation; Bedarf für öffentliche Investitionen in Infrastruktur.</w:t>
      </w:r>
    </w:p>
    <w:p>
      <w:r>
        <w:rPr>
          <w:b/>
          <w:sz w:val="19"/>
        </w:rPr>
        <w:t xml:space="preserve">Übertragbarkeit: </w:t>
      </w:r>
      <w:r>
        <w:rPr>
          <w:sz w:val="19"/>
        </w:rPr>
        <w:t>Südeuropa, vergleichbares Schulsystem, Lüftungsinfrastruktur-Mangel ähnlich Deutschland</w:t>
      </w:r>
    </w:p>
    <w:p>
      <w:r>
        <w:rPr>
          <w:color w:val="5A7D3A"/>
          <w:sz w:val="18"/>
        </w:rPr>
        <w:t>https://pubmed.ncbi.nlm.nih.gov/42904444/</w:t>
      </w:r>
    </w:p>
    <w:p>
      <w:pPr>
        <w:pStyle w:val="Heading2"/>
      </w:pPr>
      <w:r>
        <w:t>Pneumokokken-Surveillance durch Innenraumluftkontrolle</w:t>
      </w:r>
    </w:p>
    <w:p>
      <w:r>
        <w:rPr>
          <w:i/>
          <w:color w:val="666666"/>
          <w:sz w:val="18"/>
        </w:rPr>
        <w:t>Tack B et al.  ·  Int J Infect Dis  ·  02.09.2026  ·  PMID 42685969</w:t>
      </w:r>
    </w:p>
    <w:p>
      <w:r>
        <w:t>Monatliche Luftproben aus einem belgischen Kinderbetreuungszentrum über 20 Monate (Januar 2022–September 2023) wurden auf Pneumokokken und Serotypen mittels qPCR analysiert.</w:t>
      </w:r>
    </w:p>
    <w:p>
      <w:r>
        <w:rPr>
          <w:b/>
        </w:rPr>
        <w:t xml:space="preserve">Ergebnis: </w:t>
      </w:r>
      <w:r>
        <w:t>Pneumokokken wurden in 100% der Luftproben nachgewiesen; durchschnittlich 7 Serotypen pro Probe identifiziert; 15 Serotypen insgesamt erfasst. Die erfassten Serotypen stimmten weitgehend mit belgischen Carrierstudien und invasiver Krankheitssurveillance überein. Luftproben-Surveillance könnte ein skalierbares, kostengünstiges Werkzeug für Vakzinationsüberwachung werden.</w:t>
      </w:r>
    </w:p>
    <w:p>
      <w:r>
        <w:rPr>
          <w:b/>
          <w:sz w:val="19"/>
        </w:rPr>
        <w:t xml:space="preserve">Übertragbarkeit: </w:t>
      </w:r>
      <w:r>
        <w:rPr>
          <w:sz w:val="19"/>
        </w:rPr>
        <w:t>Belgien, Mitteleuropa, vergleichbares Versorgungssystem und Klima</w:t>
      </w:r>
    </w:p>
    <w:p>
      <w:r>
        <w:rPr>
          <w:color w:val="5A7D3A"/>
          <w:sz w:val="18"/>
        </w:rPr>
        <w:t>https://pubmed.ncbi.nlm.nih.gov/42685969/</w:t>
      </w:r>
    </w:p>
    <w:p>
      <w:pPr>
        <w:pStyle w:val="Heading1"/>
      </w:pPr>
      <w:r>
        <w:t>Aufgenommen am 25.10.2026</w:t>
      </w:r>
    </w:p>
    <w:p>
      <w:pPr>
        <w:pStyle w:val="Heading2"/>
      </w:pPr>
      <w:r>
        <w:t>Hitze und Luftverschmutzung in Frühen 1000 Tagen: Assoziationen mit Autismus-Screening in Kleinkindern</w:t>
      </w:r>
    </w:p>
    <w:p>
      <w:r>
        <w:rPr>
          <w:i/>
          <w:color w:val="666666"/>
          <w:sz w:val="18"/>
        </w:rPr>
        <w:t>Barbalat G et al.  ·  Environ Sci Technol  ·  15.09.2026  ·  PMID 42915390</w:t>
      </w:r>
    </w:p>
    <w:p>
      <w:r>
        <w:t>Untersuchung der Assoziation zwischen pränataler und postnataler Exposition gegenüber Temperatur und Luftschadstoffen (PM2,5, PM10, NO2) mit Autismus-Screening-Scores in 12.139 französischen Zweijährigen aus der ELFE-Kohorte.</w:t>
      </w:r>
    </w:p>
    <w:p>
      <w:r>
        <w:rPr>
          <w:b/>
        </w:rPr>
        <w:t xml:space="preserve">Ergebnis: </w:t>
      </w:r>
      <w:r>
        <w:t>Nächtliche Hitzeexposition im dritten Trimenon war mit erhöhten Autism-Scores assoziiert, auch nach Adjustierung für Feinstaub. Postnatale Effekte waren geschlechtsspezifisch: Nächtliche Hitze und erhöhte PM2,5/PM10-Exposition (Monate 2–11,5) führten zu höheren Scores bei Jungen, aber nicht Mädchen. Hitze zeigte stärkere Assoziationen als Luftverschmutzung.</w:t>
      </w:r>
    </w:p>
    <w:p>
      <w:r>
        <w:rPr>
          <w:b/>
          <w:sz w:val="19"/>
        </w:rPr>
        <w:t xml:space="preserve">Übertragbarkeit: </w:t>
      </w:r>
      <w:r>
        <w:rPr>
          <w:sz w:val="19"/>
        </w:rPr>
        <w:t>Frankreich, mitteleuropäisches Klima und Versorgungssystem, direkt übertragbar</w:t>
      </w:r>
    </w:p>
    <w:p>
      <w:r>
        <w:rPr>
          <w:color w:val="5A7D3A"/>
          <w:sz w:val="18"/>
        </w:rPr>
        <w:t>https://pubmed.ncbi.nlm.nih.gov/42915390/</w:t>
      </w:r>
    </w:p>
    <w:p>
      <w:pPr>
        <w:pStyle w:val="Heading2"/>
      </w:pPr>
      <w:r>
        <w:t>Hitzedefinitionen in Temperatur-Mortalitäts-Studien: Harmonisierungsrahmen</w:t>
      </w:r>
    </w:p>
    <w:p>
      <w:r>
        <w:rPr>
          <w:i/>
          <w:color w:val="666666"/>
          <w:sz w:val="18"/>
        </w:rPr>
        <w:t>Tobías A et al.  ·  Curr Environ Health Rep  ·  23.10.2026  ·  PMID 42909738</w:t>
      </w:r>
    </w:p>
    <w:p>
      <w:r>
        <w:t>Systematische Übersichtsarbeit zu Definitionen von Hitzeexposition (Schwellwerte und Referenztemperaturen) in Zeit-Reihen- und Fall-Crossover-Studien zur Hitzesterblichkeit.</w:t>
      </w:r>
    </w:p>
    <w:p>
      <w:r>
        <w:rPr>
          <w:b/>
        </w:rPr>
        <w:t xml:space="preserve">Ergebnis: </w:t>
      </w:r>
      <w:r>
        <w:t>Große Variation in Hitzeschwellwerten und Referenztemperaturen zwischen Studien, was Vergleichbarkeit erschwert. Fallstudie Spanien: Minimum-Mortality-Temperaturen-Ansatz (MMT) erfasst Gesamthitzesterblichkeit und moderate/extreme Hitze; Perzentil-basierte Ansätze erfassen vermeidbare übermäßige Hitzesterblichkeit. Explizite Berichterstattung dieser Komponenten verbessert Interpretation für Public-Health-Maßnahmen.</w:t>
      </w:r>
    </w:p>
    <w:p>
      <w:r>
        <w:rPr>
          <w:b/>
          <w:sz w:val="19"/>
        </w:rPr>
        <w:t xml:space="preserve">Übertragbarkeit: </w:t>
      </w:r>
      <w:r>
        <w:rPr>
          <w:sz w:val="19"/>
        </w:rPr>
        <w:t>Südeuropa mit anwendbaren Methoden; Harmonisierung relevant für Deutschland</w:t>
      </w:r>
    </w:p>
    <w:p>
      <w:r>
        <w:rPr>
          <w:color w:val="5A7D3A"/>
          <w:sz w:val="18"/>
        </w:rPr>
        <w:t>https://pubmed.ncbi.nlm.nih.gov/42909738/</w:t>
      </w:r>
    </w:p>
    <w:p>
      <w:pPr>
        <w:pStyle w:val="Heading2"/>
      </w:pPr>
      <w:r>
        <w:t>Berufliche Hitzeexposition in Ländern mit niedrigem/mittlerem Einkommen: Forschungstrends</w:t>
      </w:r>
    </w:p>
    <w:p>
      <w:r>
        <w:rPr>
          <w:i/>
          <w:color w:val="666666"/>
          <w:sz w:val="18"/>
        </w:rPr>
        <w:t>Wiskel T et al.  ·  Curr Environ Health Rep  ·  21.10.2026  ·  PMID 42905195</w:t>
      </w:r>
    </w:p>
    <w:p>
      <w:r>
        <w:t>Systematisches Mapping-Review von 210 Publikationen zu Hitzeauswirkungen auf Beschäftigte in Ländern mit niedrigem und mittlerem Einkommen (LMIC), hauptsächlich Südasien, mit Identifikation von Forschungslücken und fehlenden Interventionen.</w:t>
      </w:r>
    </w:p>
    <w:p>
      <w:r>
        <w:rPr>
          <w:b/>
        </w:rPr>
        <w:t xml:space="preserve">Ergebnis: </w:t>
      </w:r>
      <w:r>
        <w:t>65% der Studien aus Länder mit niedrigem-mittlerem Einkommen, 40% aus Südasien, 30% aus Indien, 16% Iran, 9% China. 36% Manufacturing, 33% Landwirtschaft. WBGT-Werte durchschnittlich 17,1–38,5°C (Maximum 54,4°C). Hauptoutcomes: kardiovaskuläre Reaktionen (50%), Körpertemperatur (43%), Hitzeerscheinungen (35%). Nur 9% aller Berichte mit Interventionen zur Arbeiterschutz. Methodische Lücken: 39% ohne Frauen, nur 10% mit Migrantenstatus.</w:t>
      </w:r>
    </w:p>
    <w:p>
      <w:r>
        <w:rPr>
          <w:b/>
          <w:sz w:val="19"/>
        </w:rPr>
        <w:t xml:space="preserve">Übertragbarkeit: </w:t>
      </w:r>
      <w:r>
        <w:rPr>
          <w:sz w:val="19"/>
        </w:rPr>
        <w:t>Tropen/Subtropen - methodisch übertragbar; Temperaturanpassung nicht direkt auf Deutschland</w:t>
      </w:r>
    </w:p>
    <w:p>
      <w:r>
        <w:rPr>
          <w:color w:val="5A7D3A"/>
          <w:sz w:val="18"/>
        </w:rPr>
        <w:t>https://pubmed.ncbi.nlm.nih.gov/42905195/</w:t>
      </w:r>
    </w:p>
    <w:p>
      <w:pPr>
        <w:pStyle w:val="Heading2"/>
      </w:pPr>
      <w:r>
        <w:t>Arboviren in Europa: Klimawandel ermöglicht Mückenvektoren in gemäßigten Zonen</w:t>
      </w:r>
    </w:p>
    <w:p>
      <w:r>
        <w:rPr>
          <w:i/>
          <w:color w:val="666666"/>
          <w:sz w:val="18"/>
        </w:rPr>
        <w:t>Cancela Costa A et al.  ·  Rev Med Suisse  ·  07.10.2026  ·  PMID 42902967</w:t>
      </w:r>
    </w:p>
    <w:p>
      <w:r>
        <w:t>Klinisches Review zum Auftreten von Dengue, Chikungunya und West-Nil-Virus in Europa durch klimabedingte Etablierung von Aedes- und Culex-Mücken als Vektoren.</w:t>
      </w:r>
    </w:p>
    <w:p>
      <w:r>
        <w:rPr>
          <w:b/>
        </w:rPr>
        <w:t xml:space="preserve">Ergebnis: </w:t>
      </w:r>
      <w:r>
        <w:t>Erstmals lokale Transmission von Dengue, Chikungunya und West-Nil-Virus in Europa dokumentiert. Kliniker sollten diese Infektionen in der Differenzialdiagnose fieberhafter Erkrankungen berücksichtigen, auch ohne Reiseanamnese. Klimawandel, Bevölkerungsbewegungen und internationaler Handel fördern die Ausbreitung tropischer Arboviren in gemäßigte Regionen.</w:t>
      </w:r>
    </w:p>
    <w:p>
      <w:r>
        <w:rPr>
          <w:b/>
          <w:sz w:val="19"/>
        </w:rPr>
        <w:t xml:space="preserve">Übertragbarkeit: </w:t>
      </w:r>
      <w:r>
        <w:rPr>
          <w:sz w:val="19"/>
        </w:rPr>
        <w:t>Europa direkt betroffen, klimabedingte Vektorexpansion, hochrelevant für Deutschland</w:t>
      </w:r>
    </w:p>
    <w:p>
      <w:r>
        <w:rPr>
          <w:color w:val="5A7D3A"/>
          <w:sz w:val="18"/>
        </w:rPr>
        <w:t>https://pubmed.ncbi.nlm.nih.gov/42902967/</w:t>
      </w:r>
    </w:p>
    <w:p>
      <w:pPr>
        <w:pStyle w:val="Heading2"/>
      </w:pPr>
      <w:r>
        <w:t>Luftverschmutzung und Temperatur: Gemeinsame Effekte auf Blutzucker in europäischen Kohorten</w:t>
      </w:r>
    </w:p>
    <w:p>
      <w:r>
        <w:rPr>
          <w:i/>
          <w:color w:val="666666"/>
          <w:sz w:val="18"/>
        </w:rPr>
        <w:t>Jeong A et al.  ·  Environ Int  ·  23.09.2026  ·  PMID 42784881</w:t>
      </w:r>
    </w:p>
    <w:p>
      <w:r>
        <w:t>Analyse der gemeinsamen Effekte von Luftverschmutzung (PM10) und Temperatur auf Nüchternblutzucker (HbA1c) in 33.989 Messungen von 21.259 Teilnehmern aus neun europäischen Kohorten.</w:t>
      </w:r>
    </w:p>
    <w:p>
      <w:r>
        <w:rPr>
          <w:b/>
        </w:rPr>
        <w:t xml:space="preserve">Ergebnis: </w:t>
      </w:r>
      <w:r>
        <w:t>Elastic-Net-Regression identifizierte PM10 und Temperaturvariabilität als stabile Prädiktoren für erhöhte HbA1c. Ein Szenario mit verbesserter Luftqualität führte zu gesunkenen HbA1c-Werten; klimabedingte Temperaturerhöhung führte zu erhöhten HbA1c-Werten. Die positiven Effekte von Luftqualitätsverbesserungen gewinnen unter Klimawandelbedingungen an Bedeutung, besonders bei Nichtrauchern.</w:t>
      </w:r>
    </w:p>
    <w:p>
      <w:r>
        <w:rPr>
          <w:b/>
          <w:sz w:val="19"/>
        </w:rPr>
        <w:t xml:space="preserve">Übertragbarkeit: </w:t>
      </w:r>
      <w:r>
        <w:rPr>
          <w:sz w:val="19"/>
        </w:rPr>
        <w:t>Europäische Kohorten mit Luftdaten, gemäßigte Klimazonen, direkt übertragbar</w:t>
      </w:r>
    </w:p>
    <w:p>
      <w:r>
        <w:rPr>
          <w:color w:val="5A7D3A"/>
          <w:sz w:val="18"/>
        </w:rPr>
        <w:t>https://pubmed.ncbi.nlm.nih.gov/42784881/</w:t>
      </w:r>
    </w:p>
    <w:p>
      <w:pPr>
        <w:pStyle w:val="Heading2"/>
      </w:pPr>
      <w:r>
        <w:t>Heiße Getränke und Speiseröhrenkrebs: Prospektive Studie in UK-Erwachsenen</w:t>
      </w:r>
    </w:p>
    <w:p>
      <w:r>
        <w:rPr>
          <w:i/>
          <w:color w:val="666666"/>
          <w:sz w:val="18"/>
        </w:rPr>
        <w:t>Papier K et al.  ·  Int J Cancer  ·  15.12.2026  ·  PMID 42710538</w:t>
      </w:r>
    </w:p>
    <w:p>
      <w:r>
        <w:t>Prospektive Analyse von 977.282 UK-Teilnehmern zur Assoziation zwischen Trinktemperatur und Häufigkeit heißer Getränke mit Speiseröhrenkrebsrisiko über durchschnittlich 11–14 Jahre Follow-up.</w:t>
      </w:r>
    </w:p>
    <w:p>
      <w:r>
        <w:rPr>
          <w:b/>
        </w:rPr>
        <w:t xml:space="preserve">Ergebnis: </w:t>
      </w:r>
      <w:r>
        <w:t>2.348 Speiseröhrenkrebsfälle (1.045 Plattenepithel-Ca., 1.303 Adenokarzinom). "Sehr heiße" vs. "warme" Getränke: 3-fach erhöhtes Plattenepithel-Ca.-Risiko (RR=3,17; 95%-KI: 2,49–4,03), kein Effekt auf Adenokarzinom. Täglich ≥6 vs. &lt;6 heiße Getränke: 71% erhöhtes Plattenepithel-Ca.-Risiko (RR=1,71; 1,51–1,94). Geschätzt 14% der Plattenepithel-Karzinome wären vermeidbar durch Temperaturreduktion.</w:t>
      </w:r>
    </w:p>
    <w:p>
      <w:r>
        <w:rPr>
          <w:b/>
          <w:sz w:val="19"/>
        </w:rPr>
        <w:t xml:space="preserve">Übertragbarkeit: </w:t>
      </w:r>
      <w:r>
        <w:rPr>
          <w:sz w:val="19"/>
        </w:rPr>
        <w:t>Großbritannien, Bevölkerung vergleichbar, gemäßigte Klimazone</w:t>
      </w:r>
    </w:p>
    <w:p>
      <w:r>
        <w:rPr>
          <w:color w:val="5A7D3A"/>
          <w:sz w:val="18"/>
        </w:rPr>
        <w:t>https://pubmed.ncbi.nlm.nih.gov/42710538/</w:t>
      </w:r>
    </w:p>
    <w:p>
      <w:pPr>
        <w:pStyle w:val="Heading1"/>
      </w:pPr>
      <w:r>
        <w:t>Aufgenommen am 24.10.2026</w:t>
      </w:r>
    </w:p>
    <w:p>
      <w:pPr>
        <w:pStyle w:val="Heading2"/>
      </w:pPr>
      <w:r>
        <w:t>Waldbrände, Nahrungsunsicherheit und sexuelle Gesundheit von Jugendlichen in der kanadischen Arktis</w:t>
      </w:r>
    </w:p>
    <w:p>
      <w:r>
        <w:rPr>
          <w:i/>
          <w:color w:val="666666"/>
          <w:sz w:val="18"/>
        </w:rPr>
        <w:t>Logie CH et al.  ·  J Int Assoc Provid AIDS Care  ·  22.10.2026  ·  PMID 42912890</w:t>
      </w:r>
    </w:p>
    <w:p>
      <w:r>
        <w:t>Strukturgleichungsmodell-Analyse bei 290 Jugendlichen (13–18 Jahre) in 12 Gemeinden der Nordwest-Territorien zur indirekten Assoziation zwischen Waldbrand-Traumaexposition, Nahrungsunsicherheit, Selbstwertgefühl und Kondomgebrauchssicherheit.</w:t>
      </w:r>
    </w:p>
    <w:p>
      <w:r>
        <w:rPr>
          <w:b/>
        </w:rPr>
        <w:t xml:space="preserve">Ergebnis: </w:t>
      </w:r>
      <w:r>
        <w:t>Höhere Waldbrand-Traumaexposition war mit erhöhter Nahrungsunsicherheit und niedrigerem Selbstwertgefühl assoziiert. Waldbrand-Exposition und Nahrungsunsicherheit waren indirekt (über Selbstwertgefühl) mit niedrigerer Kondomgebrauchssicherheit assoziiert. Direkter Effekt nicht signifikant.</w:t>
      </w:r>
    </w:p>
    <w:p>
      <w:r>
        <w:rPr>
          <w:b/>
          <w:sz w:val="19"/>
        </w:rPr>
        <w:t xml:space="preserve">Übertragbarkeit: </w:t>
      </w:r>
      <w:r>
        <w:rPr>
          <w:sz w:val="19"/>
        </w:rPr>
        <w:t>Kanada, gemäßigte/arktische Klimazone; Methode der Intersektionalität und sozialen Determinanten übertragbar</w:t>
      </w:r>
    </w:p>
    <w:p>
      <w:r>
        <w:rPr>
          <w:color w:val="5A7D3A"/>
          <w:sz w:val="18"/>
        </w:rPr>
        <w:t>https://pubmed.ncbi.nlm.nih.gov/42912890/</w:t>
      </w:r>
    </w:p>
    <w:p>
      <w:pPr>
        <w:pStyle w:val="Heading2"/>
      </w:pPr>
      <w:r>
        <w:t>Wissenslücken zu Hitzeerkrankungen bei Schülern trotz hoher Awareness</w:t>
      </w:r>
    </w:p>
    <w:p>
      <w:r>
        <w:rPr>
          <w:i/>
          <w:color w:val="666666"/>
          <w:sz w:val="18"/>
        </w:rPr>
        <w:t>Matsuo H et al.  ·  Int J Biometeorol  ·  22.10.2026  ·  PMID 42911282</w:t>
      </w:r>
    </w:p>
    <w:p>
      <w:r>
        <w:t>Querschnittbefragung von 1.179 japanischen Schülern (7.–10. Klasse) zur Erkennung von Hitzekrankheitstypen und Symptomen trotz bekannten Terminus.</w:t>
      </w:r>
    </w:p>
    <w:p>
      <w:r>
        <w:rPr>
          <w:b/>
        </w:rPr>
        <w:t xml:space="preserve">Ergebnis: </w:t>
      </w:r>
      <w:r>
        <w:t>Nahezu alle Schüler kannten den Begriff „exertional heat illness</w:t>
      </w:r>
    </w:p>
    <w:p>
      <w:r>
        <w:rPr>
          <w:b/>
          <w:sz w:val="19"/>
        </w:rPr>
        <w:t xml:space="preserve">Übertragbarkeit: </w:t>
      </w:r>
      <w:r>
        <w:rPr>
          <w:sz w:val="19"/>
        </w:rPr>
        <w:t>Ergebnis besagt aber dass nur 1,9% der Mittelschüler (3,1% Gymnasiasten) Hitzesynkope korrekt den Symptomen zuordneten; bei Hitzeerschöpfung 4,1% (7,9%); bei Hitzschlag 0,4% (0,5%). Klare Diskrepanz zwischen wahrgenommenem und tatsächlichem Wissen.Vulnerabilitätsgruppen und Prävention, schulische Gesundheitskommunikation relevant für Deutschland</w:t>
      </w:r>
    </w:p>
    <w:p>
      <w:r>
        <w:rPr>
          <w:color w:val="5A7D3A"/>
          <w:sz w:val="18"/>
        </w:rPr>
        <w:t>https://pubmed.ncbi.nlm.nih.gov/42911282/</w:t>
      </w:r>
    </w:p>
    <w:p>
      <w:pPr>
        <w:pStyle w:val="Heading2"/>
      </w:pPr>
      <w:r>
        <w:t>Extreme Hitze und Demenzrisiko: Soziale Ungleichheit verstärkt Effekt</w:t>
      </w:r>
    </w:p>
    <w:p>
      <w:r>
        <w:rPr>
          <w:i/>
          <w:color w:val="666666"/>
          <w:sz w:val="18"/>
        </w:rPr>
        <w:t>Choi EY et al.  ·  Alzheimers Dement  ·  Okt. 2026  ·  PMID 42910638</w:t>
      </w:r>
    </w:p>
    <w:p>
      <w:r>
        <w:t>20-jähriges Kohorten-Follow-up mit 28.512 älteren US-Amerikanern zur Assoziation zwischen Außentemperatur und Demenzinzidenz, stratifiziert nach sozioökonomischem Status.</w:t>
      </w:r>
    </w:p>
    <w:p>
      <w:r>
        <w:rPr>
          <w:b/>
        </w:rPr>
        <w:t xml:space="preserve">Ergebnis: </w:t>
      </w:r>
      <w:r>
        <w:t>Personen mit hoher Belastung durch Extremhitze (≥7,2 Tage/Jahr ≥39,4°C) hatten 23% erhöhtes Demenzrisiko (95% KI: 1,08–1,40) versus niedriger Belastung. In sozioökonomisch benachteiligten Gegenden und Gebieten mit niedriger Klimaanlageausstattung waren Assoziationen deutlich stärker.</w:t>
      </w:r>
    </w:p>
    <w:p>
      <w:r>
        <w:rPr>
          <w:b/>
          <w:sz w:val="19"/>
        </w:rPr>
        <w:t xml:space="preserve">Übertragbarkeit: </w:t>
      </w:r>
      <w:r>
        <w:rPr>
          <w:sz w:val="19"/>
        </w:rPr>
        <w:t>Methodisch übertragbar; Schwellwerte für US-Südwest-Klima nicht direkt, aber Prinzip der Vulnerabilität relevant</w:t>
      </w:r>
    </w:p>
    <w:p>
      <w:r>
        <w:rPr>
          <w:color w:val="5A7D3A"/>
          <w:sz w:val="18"/>
        </w:rPr>
        <w:t>https://pubmed.ncbi.nlm.nih.gov/42910638/</w:t>
      </w:r>
    </w:p>
    <w:p>
      <w:pPr>
        <w:pStyle w:val="Heading2"/>
      </w:pPr>
      <w:r>
        <w:t>Nächtliche Hitze erhöht Notfallhospitalisierungen bei Herzstillstand</w:t>
      </w:r>
    </w:p>
    <w:p>
      <w:r>
        <w:rPr>
          <w:i/>
          <w:color w:val="666666"/>
          <w:sz w:val="18"/>
        </w:rPr>
        <w:t>Nishimura H et al.  ·  Int J Biometeorol  ·  23.10.2026  ·  PMID 42909662</w:t>
      </w:r>
    </w:p>
    <w:p>
      <w:r>
        <w:t>Japanische Fall-Kontroll-Studie mit 135.898 Hospitalisierungen für außerklinischen Herzstillstand (2011–2021) zur Assoziation mit nächtlicher Hitzeexposition (&gt;92,5. Perzentil der Mindesttemperatur).</w:t>
      </w:r>
    </w:p>
    <w:p>
      <w:r>
        <w:rPr>
          <w:b/>
        </w:rPr>
        <w:t xml:space="preserve">Ergebnis: </w:t>
      </w:r>
      <w:r>
        <w:t>Nächtliche Hitzeexposition war mit erhöhten Notfallhospitalisierungen assoziiert (RR: 1,090, 95% KI: 1,047–1,135). Höhere Risiken bei Personen ≥75 Jahren und Frauen in nördlichen Regionen (RR: 1,295 und 1,352). Niedrigere Klimaanlageausstattung verstärkte das Risiko bei Frauen und älteren Personen.</w:t>
      </w:r>
    </w:p>
    <w:p>
      <w:r>
        <w:rPr>
          <w:b/>
          <w:sz w:val="19"/>
        </w:rPr>
        <w:t xml:space="preserve">Übertragbarkeit: </w:t>
      </w:r>
      <w:r>
        <w:rPr>
          <w:sz w:val="19"/>
        </w:rPr>
        <w:t>Gemäßigte Klimazone, relevante Risikogruppen; nächtliche Hitze zunehmend auch in Mitteleuropa</w:t>
      </w:r>
    </w:p>
    <w:p>
      <w:r>
        <w:rPr>
          <w:color w:val="5A7D3A"/>
          <w:sz w:val="18"/>
        </w:rPr>
        <w:t>https://pubmed.ncbi.nlm.nih.gov/42909662/</w:t>
      </w:r>
    </w:p>
    <w:p>
      <w:pPr>
        <w:pStyle w:val="Heading2"/>
      </w:pPr>
      <w:r>
        <w:t>Umweltfaktoren und psychische Gesundheit in Deutschland</w:t>
      </w:r>
    </w:p>
    <w:p>
      <w:r>
        <w:rPr>
          <w:i/>
          <w:color w:val="666666"/>
          <w:sz w:val="18"/>
        </w:rPr>
        <w:t>Wang Y et al.  ·  Environ Int  ·  27.09.2026  ·  PMID 42810139</w:t>
      </w:r>
    </w:p>
    <w:p>
      <w:r>
        <w:t>Langzeitstudie an über 70.000 deutschen Erwachsenen, die Zusammenhänge zwischen Luftverschmutzung, Temperatur, Grünflächen und depressiven sowie Angststörungen untersuchte.</w:t>
      </w:r>
    </w:p>
    <w:p>
      <w:r>
        <w:rPr>
          <w:b/>
        </w:rPr>
        <w:t xml:space="preserve">Ergebnis: </w:t>
      </w:r>
      <w:r>
        <w:t>Höhere Lufttemperatur pro Interquartilsabstand war mit erhöhten depressiven Symptomscores assoziiert (β = 0,07, 95% KI: 0,03–0,12), ebenso NO₂-Exposition (β = 0,08, 95% KI: 0,03–0,14). Höhere Grünflächenanteil und Niederschlag waren mit niedrigeren depressiven Symptomen assoziiert. Stärkere Assoziationen bei Frauen, jüngeren Erwachsenen, Menschen mit Adipositas und in urbanen Gebieten.</w:t>
      </w:r>
    </w:p>
    <w:p>
      <w:r>
        <w:rPr>
          <w:b/>
          <w:sz w:val="19"/>
        </w:rPr>
        <w:t xml:space="preserve">Übertragbarkeit: </w:t>
      </w:r>
      <w:r>
        <w:rPr>
          <w:sz w:val="19"/>
        </w:rPr>
        <w:t>Deutsche Sterbedaten und Versorgungsstruktur, gemäßigte Klimazone, großer Stichprobenumfang</w:t>
      </w:r>
    </w:p>
    <w:p>
      <w:r>
        <w:rPr>
          <w:color w:val="5A7D3A"/>
          <w:sz w:val="18"/>
        </w:rPr>
        <w:t>https://pubmed.ncbi.nlm.nih.gov/42810139/</w:t>
      </w:r>
    </w:p>
    <w:p>
      <w:pPr>
        <w:pStyle w:val="Heading1"/>
      </w:pPr>
      <w:r>
        <w:t>Aufgenommen am 23.10.2026</w:t>
      </w:r>
    </w:p>
    <w:p>
      <w:pPr>
        <w:pStyle w:val="Heading2"/>
      </w:pPr>
      <w:r>
        <w:t>PM₂,₅-Exposition erhöht Sterblichkeit bei älteren Menschen in Beijing</w:t>
      </w:r>
    </w:p>
    <w:p>
      <w:r>
        <w:rPr>
          <w:i/>
          <w:color w:val="666666"/>
          <w:sz w:val="18"/>
        </w:rPr>
        <w:t>Wan YH et al.  ·  Zhonghua Liu Xing Bing Xue Za Zhi  ·  10.10.2026  ·  PMID 42907183</w:t>
      </w:r>
    </w:p>
    <w:p>
      <w:r>
        <w:t>Kohortenstudie mit 3.472 älteren Stadtbewohnern in Beijing analysierte Assoziationen zwischen Feinstaubexposition (2010–2014) und all-cause sowie kardiovaskulärer Mortalität mit Analyse von Interaktionen mit körperlicher Aktivität.</w:t>
      </w:r>
    </w:p>
    <w:p>
      <w:r>
        <w:rPr>
          <w:b/>
        </w:rPr>
        <w:t xml:space="preserve">Ergebnis: </w:t>
      </w:r>
      <w:r>
        <w:t>Jede 1 μg/m³ PM₂,₅-Steigerung erhöhte All-cause-Mortalitätsrisiko um 5,3 % (HR=1,053; 95%-KI: 1,026–1,080) und kardiovaskuläres Risiko um 4,6 % (HR=1,046; 95%-KI: 1,001–1,100). Ohne Außenaktivität: 8,7 % Risikoerhöhung; mit regelmäßiger Aktivität: nur 2,6 % Erhöhung. Mittlere PM₂,₅-Konzentration war 79,80 μg/m³ (WHO-Grenzwert: 35 μg/m³).</w:t>
      </w:r>
    </w:p>
    <w:p>
      <w:r>
        <w:rPr>
          <w:b/>
          <w:sz w:val="19"/>
        </w:rPr>
        <w:t xml:space="preserve">Übertragbarkeit: </w:t>
      </w:r>
      <w:r>
        <w:rPr>
          <w:sz w:val="19"/>
        </w:rPr>
        <w:t>China, gemäßigte Zone; Dosis-Wirkungs-Beziehung erkennbar, absolute Schwellenwerte nicht auf Deutschland übertragbar</w:t>
      </w:r>
    </w:p>
    <w:p>
      <w:r>
        <w:rPr>
          <w:color w:val="5A7D3A"/>
          <w:sz w:val="18"/>
        </w:rPr>
        <w:t>https://pubmed.ncbi.nlm.nih.gov/42907183/</w:t>
      </w:r>
    </w:p>
    <w:p>
      <w:pPr>
        <w:pStyle w:val="Heading2"/>
      </w:pPr>
      <w:r>
        <w:t>Klimastress und Infektionen gefährden Arbeiter in Niedriglohnländern</w:t>
      </w:r>
    </w:p>
    <w:p>
      <w:r>
        <w:rPr>
          <w:i/>
          <w:color w:val="666666"/>
          <w:sz w:val="18"/>
        </w:rPr>
        <w:t>Odud MA et al.  ·  PLoS One  ·  21.10.2026  ·  PMID 42905761</w:t>
      </w:r>
    </w:p>
    <w:p>
      <w:r>
        <w:t>Scoping Review (PRISMA-ScR; 10 von 612 geprüften Quellen) untersuchte Konvergenz von klimabezogenen und infektionsbezogenen Stressoren und deren Auswirkungen auf Arbeiter in Hochrisikoberufen (2020–2025).</w:t>
      </w:r>
    </w:p>
    <w:p>
      <w:r>
        <w:rPr>
          <w:b/>
        </w:rPr>
        <w:t xml:space="preserve">Ergebnis: </w:t>
      </w:r>
      <w:r>
        <w:t>Klima- und Infektionsstressoren verstärken sich gegenseitig und erhöhen physische, umweltbezogene und psychosoziale Belastungen. Besonders gefährdet: Migrantenarbeiter, informal Beschäftigte, Niedrigeinkommensgruppen, Ältere, Frauen und Saisonarbeiter. Nur 9 % der Studien beinhalteten Schutzmaßnahmen; fragmentierte Politikansätze.</w:t>
      </w:r>
    </w:p>
    <w:p>
      <w:r>
        <w:rPr>
          <w:b/>
          <w:sz w:val="19"/>
        </w:rPr>
        <w:t xml:space="preserve">Übertragbarkeit: </w:t>
      </w:r>
      <w:r>
        <w:rPr>
          <w:sz w:val="19"/>
        </w:rPr>
        <w:t>Globale Perspektive; Vulnerabilitätsmuster und integrierte Ansätze methodisch übertragbar auf Deutschland</w:t>
      </w:r>
    </w:p>
    <w:p>
      <w:r>
        <w:rPr>
          <w:color w:val="5A7D3A"/>
          <w:sz w:val="18"/>
        </w:rPr>
        <w:t>https://pubmed.ncbi.nlm.nih.gov/42905761/</w:t>
      </w:r>
    </w:p>
    <w:p>
      <w:pPr>
        <w:pStyle w:val="Heading2"/>
      </w:pPr>
      <w:r>
        <w:t>Innenraumhitze erhöht Mortalitätsrisiko stärker als Außentemperatur</w:t>
      </w:r>
    </w:p>
    <w:p>
      <w:r>
        <w:rPr>
          <w:i/>
          <w:color w:val="666666"/>
          <w:sz w:val="18"/>
        </w:rPr>
        <w:t>Ibbetson A et al.  ·  Risk Anal  ·  Nov. 2026  ·  PMID 42904486</w:t>
      </w:r>
    </w:p>
    <w:p>
      <w:r>
        <w:t>Mathematische Modellierungsstudie entwickelt neuartigen Ansatz zur Abbildung von Innenraumhitze-Mortalitäts-Beziehungen auf Basis epidemiologischer Außentemperatur-Daten unter Berücksichtigung der Gebäudedämmung.</w:t>
      </w:r>
    </w:p>
    <w:p>
      <w:r>
        <w:rPr>
          <w:b/>
        </w:rPr>
        <w:t xml:space="preserve">Ergebnis: </w:t>
      </w:r>
      <w:r>
        <w:t>Modell zeigt, dass Änderungen der Innenraumtemperatur stärkere Mortalitätsveränderungen bewirken als gleiche Außentemperaturänderungen. Dies liegt an der modifizierenden Wirkung von Gebäuden auf die Temperaturexposition und hat Implikationen für die Bewertung von Gesundheitseffekten bei Innenraum-Hitzeexposition.</w:t>
      </w:r>
    </w:p>
    <w:p>
      <w:r>
        <w:rPr>
          <w:b/>
          <w:sz w:val="19"/>
        </w:rPr>
        <w:t xml:space="preserve">Übertragbarkeit: </w:t>
      </w:r>
      <w:r>
        <w:rPr>
          <w:sz w:val="19"/>
        </w:rPr>
        <w:t>Großbritannien; theoretischer Rahmen universal, gebäudespezifische Parameter müssen für Deutschland angepasst werden</w:t>
      </w:r>
    </w:p>
    <w:p>
      <w:r>
        <w:rPr>
          <w:color w:val="5A7D3A"/>
          <w:sz w:val="18"/>
        </w:rPr>
        <w:t>https://pubmed.ncbi.nlm.nih.gov/42904486/</w:t>
      </w:r>
    </w:p>
    <w:p>
      <w:pPr>
        <w:pStyle w:val="Heading2"/>
      </w:pPr>
      <w:r>
        <w:t>Extremtemperaturen erhöhen Arbeitsunfälle in lateinamerikanischer Metropole</w:t>
      </w:r>
    </w:p>
    <w:p>
      <w:r>
        <w:rPr>
          <w:i/>
          <w:color w:val="666666"/>
          <w:sz w:val="18"/>
        </w:rPr>
        <w:t>Vilasau R et al.  ·  Environ Res  ·  15.11.2026  ·  PMID 42838200</w:t>
      </w:r>
    </w:p>
    <w:p>
      <w:r>
        <w:t>Fallüberkreuzungs-Studie mit 603.676 Arbeitsunfällen in Santiago untersuchte Hitzewellen- und Kälteeffekte auf Verletzungsrisiken in verschiedenen Wirtschaftssektoren (2012–2019).</w:t>
      </w:r>
    </w:p>
    <w:p>
      <w:r>
        <w:rPr>
          <w:b/>
        </w:rPr>
        <w:t xml:space="preserve">Ergebnis: </w:t>
      </w:r>
      <w:r>
        <w:t>Extreme Hitze erhöhte das Verletzungsrisiko im Hotel-Sektor (RR=1,36; 95%-KI: 1,09–1,70) und Verkehr (RR=1,25; 95%-KI: 1,02–1,53). Extreme Kälte erhöhte Risiko in Industrie (RR=1,18; 95%-KI: 1,06–1,32) und Bau (RR=1,12; 95%-KI: 1,02–1,24). Insgesamt 5.542 Verletzungen waren auf nicht-optimale Temperaturen zurückzuführen.</w:t>
      </w:r>
    </w:p>
    <w:p>
      <w:r>
        <w:rPr>
          <w:b/>
          <w:sz w:val="19"/>
        </w:rPr>
        <w:t xml:space="preserve">Übertragbarkeit: </w:t>
      </w:r>
      <w:r>
        <w:rPr>
          <w:sz w:val="19"/>
        </w:rPr>
        <w:t>Südamerika, temperate Zone; Methodik und Sektor-Differenzierung übertragbar, absolute Schwellenwerte nicht</w:t>
      </w:r>
    </w:p>
    <w:p>
      <w:r>
        <w:rPr>
          <w:color w:val="5A7D3A"/>
          <w:sz w:val="18"/>
        </w:rPr>
        <w:t>https://pubmed.ncbi.nlm.nih.gov/42838200/</w:t>
      </w:r>
    </w:p>
    <w:p>
      <w:pPr>
        <w:pStyle w:val="Heading2"/>
      </w:pPr>
      <w:r>
        <w:t>Wüstenstaub und Hitze verschlechtern Lungenfunktion bei Kindern mit Asthma</w:t>
      </w:r>
    </w:p>
    <w:p>
      <w:r>
        <w:rPr>
          <w:i/>
          <w:color w:val="666666"/>
          <w:sz w:val="18"/>
        </w:rPr>
        <w:t>Qian Y et al.  ·  Environ Res  ·  15.11.2026  ·  PMID 42838195</w:t>
      </w:r>
    </w:p>
    <w:p>
      <w:r>
        <w:t>Sekundäranalyse untersuchte Assoziationen zwischen Wüstenstaubexposition, Temperatur und Lungenfunktion bei 135 asthmatischen Kindern in Zypern und Kreta während der Staubsaison 2019 und 2021.</w:t>
      </w:r>
    </w:p>
    <w:p>
      <w:r>
        <w:rPr>
          <w:b/>
        </w:rPr>
        <w:t xml:space="preserve">Ergebnis: </w:t>
      </w:r>
      <w:r>
        <w:t>Kumulativer Wüstenstaub war mit -3,52 mL (95%-KI: -5,90, -1,14) FEV₁-Abnahme pro Staubtag verbunden. Temperaturanstieg um 5 °C war mit -19,77 mL FEV₁-Abnahme (95%-KI: -37,91, -1,63) und -0,81 % FEV₁/FVC-Reduktion (95%-KI: -1,36, -0,25) assoziiert. Sowohl Staubexposition als auch Hitze zeigten inverse Assoziationen mit Lungenfunktionsparametern.</w:t>
      </w:r>
    </w:p>
    <w:p>
      <w:r>
        <w:rPr>
          <w:b/>
          <w:sz w:val="19"/>
        </w:rPr>
        <w:t xml:space="preserve">Übertragbarkeit: </w:t>
      </w:r>
      <w:r>
        <w:rPr>
          <w:sz w:val="19"/>
        </w:rPr>
        <w:t>Südeuropa; Klimazone und Expositionspathways relevant für Mittelmeerregion, Übertragung auf Deutschland begrenzt</w:t>
      </w:r>
    </w:p>
    <w:p>
      <w:r>
        <w:rPr>
          <w:color w:val="5A7D3A"/>
          <w:sz w:val="18"/>
        </w:rPr>
        <w:t>https://pubmed.ncbi.nlm.nih.gov/42838195/</w:t>
      </w:r>
    </w:p>
    <w:p>
      <w:pPr>
        <w:pStyle w:val="Heading1"/>
      </w:pPr>
      <w:r>
        <w:t>Aufgenommen am 22.10.2026</w:t>
      </w:r>
    </w:p>
    <w:p>
      <w:pPr>
        <w:pStyle w:val="Heading2"/>
      </w:pPr>
      <w:r>
        <w:t>Extremtemperaturen und Barrierefunktion: Mechanismen der Krankheitsentstehung</w:t>
      </w:r>
    </w:p>
    <w:p>
      <w:r>
        <w:rPr>
          <w:i/>
          <w:color w:val="666666"/>
          <w:sz w:val="18"/>
        </w:rPr>
        <w:t>Ogulur I et al.  ·  Semin Immunopathol  ·  20.10.2026  ·  PMID 42902042</w:t>
      </w:r>
    </w:p>
    <w:p>
      <w:r>
        <w:t>Narrative Übersichtsarbeit über die Mechanismen, durch die Hitze und Kälte die Epithelbarriere schädigen und über veränderte Barrierefunktion zu nichtübertragbaren Erkrankungen führen.</w:t>
      </w:r>
    </w:p>
    <w:p>
      <w:r>
        <w:rPr>
          <w:b/>
        </w:rPr>
        <w:t xml:space="preserve">Ergebnis: </w:t>
      </w:r>
      <w:r>
        <w:t>Extreme Temperaturen beeinträchtigen die Tight-Junction-Regulation, verursachen oxidativen Stress, Apoptose und Entzündung sowie Mikrobiom-Dysbiose – Effekte, die durch Luftverschmutzung, UV-Strahlung und Waldbrände verstärkt werden. Epidemiologische Evidenz zeigt Assoziationen zwischen Hitzewellen und Krankheitsexazerbationen sowie zwischen Kälteexposition und Infektions- oder Allergiereaktionen.</w:t>
      </w:r>
    </w:p>
    <w:p>
      <w:r>
        <w:rPr>
          <w:b/>
          <w:sz w:val="19"/>
        </w:rPr>
        <w:t xml:space="preserve">Übertragbarkeit: </w:t>
      </w:r>
      <w:r>
        <w:rPr>
          <w:sz w:val="19"/>
        </w:rPr>
        <w:t>Systematische Pathophysiologie, Klimazone-unabhängig; Grundlage für Verständnis europäischer Hitzefolgen</w:t>
      </w:r>
    </w:p>
    <w:p>
      <w:r>
        <w:rPr>
          <w:color w:val="5A7D3A"/>
          <w:sz w:val="18"/>
        </w:rPr>
        <w:t>https://pubmed.ncbi.nlm.nih.gov/42902042/</w:t>
      </w:r>
    </w:p>
    <w:p>
      <w:pPr>
        <w:pStyle w:val="Heading2"/>
      </w:pPr>
      <w:r>
        <w:t>Neuausrichtung der Public Health angesichts von Klimawandel und Urbanisierung</w:t>
      </w:r>
    </w:p>
    <w:p>
      <w:r>
        <w:rPr>
          <w:i/>
          <w:color w:val="666666"/>
          <w:sz w:val="18"/>
        </w:rPr>
        <w:t>Galea S  ·  Lancet Public Health  ·  Nov. 2026  ·  PMID 42901192</w:t>
      </w:r>
    </w:p>
    <w:p>
      <w:r>
        <w:t>Essay des renommierten Public-Health-Experten über fünf Megatrends – Bevölkerungsalterung, Urbanisierung, Klimawandel, verändernde Institutionenvertrauen, transformative Technologien – und fünf daraus folgende strategische Aspirationen für die Gesundheitspolitik.</w:t>
      </w:r>
    </w:p>
    <w:p>
      <w:r>
        <w:rPr>
          <w:b/>
        </w:rPr>
        <w:t xml:space="preserve">Ergebnis: </w:t>
      </w:r>
      <w:r>
        <w:t>Zentrale Befunde: Klimawandel ist neben Bevölkerungsalterung und Urbanisierung einer der drei Haupttreiber für den Wandel der Krankheitslast (Zunahme nichtübertragbarer Erkrankungen, neurologische Erkrankungen, instabilere Infektionskrankheiten). Public Health muss sich auf Prävention nichtübertragbarer Krankheiten, Gesundheitsgerechtigkeit und Krisenresilienz konzentrieren.</w:t>
      </w:r>
    </w:p>
    <w:p>
      <w:r>
        <w:rPr>
          <w:b/>
          <w:sz w:val="19"/>
        </w:rPr>
        <w:t xml:space="preserve">Übertragbarkeit: </w:t>
      </w:r>
      <w:r>
        <w:rPr>
          <w:sz w:val="19"/>
        </w:rPr>
        <w:t>Globale Public-Health-Strategie; Rahmensetzung für deutsche Gesundheitspolitik</w:t>
      </w:r>
    </w:p>
    <w:p>
      <w:r>
        <w:rPr>
          <w:color w:val="5A7D3A"/>
          <w:sz w:val="18"/>
        </w:rPr>
        <w:t>https://pubmed.ncbi.nlm.nih.gov/42901192/</w:t>
      </w:r>
    </w:p>
    <w:p>
      <w:pPr>
        <w:pStyle w:val="Heading2"/>
      </w:pPr>
      <w:r>
        <w:t>Nachhaltigkeitsschulung in der Notfallmedizin: Effekte auf Wissen und Verhalten</w:t>
      </w:r>
    </w:p>
    <w:p>
      <w:r>
        <w:rPr>
          <w:i/>
          <w:color w:val="666666"/>
          <w:sz w:val="18"/>
        </w:rPr>
        <w:t>Ashkezari AD et al.  ·  West J Emerg Med  ·  10.08.2026  ·  PMID 42900914</w:t>
      </w:r>
    </w:p>
    <w:p>
      <w:r>
        <w:t>Prospektive Vor-Nachher-Studie zur Wirksamkeit eines Kurzvideos über nachhaltige Klinikpraxis bei US-amerikanischen Notfallmedizinern (N=34).</w:t>
      </w:r>
    </w:p>
    <w:p>
      <w:r>
        <w:rPr>
          <w:b/>
        </w:rPr>
        <w:t xml:space="preserve">Ergebnis: </w:t>
      </w:r>
      <w:r>
        <w:t>Wissenswerte stiegen von 55,0% auf 68,0% unmittelbar nach der Intervention (p&lt;0,001) und blieben bei 65,0% nach einem Monat erhöht (p=0,003). Einstellungen verbesserten sich signifikant (p=0,001). Bei Verhaltensänderungen zeigten sich Verbesserungen: bevorzugte Verordnung von Pulverinhalatoren stieg von 12,0% auf 37,0% (p&lt;0,050), Müllvermeidungsbestrebungen von 56,0% auf 87,0% (p&lt;0,050).</w:t>
      </w:r>
    </w:p>
    <w:p>
      <w:r>
        <w:rPr>
          <w:b/>
          <w:sz w:val="19"/>
        </w:rPr>
        <w:t xml:space="preserve">Übertragbarkeit: </w:t>
      </w:r>
      <w:r>
        <w:rPr>
          <w:sz w:val="19"/>
        </w:rPr>
        <w:t>USA-Gesundheitswesen, aber Transfer-Methodik auf deutsches Klinikmanagement anwendbar</w:t>
      </w:r>
    </w:p>
    <w:p>
      <w:r>
        <w:rPr>
          <w:color w:val="5A7D3A"/>
          <w:sz w:val="18"/>
        </w:rPr>
        <w:t>https://pubmed.ncbi.nlm.nih.gov/42900914/</w:t>
      </w:r>
    </w:p>
    <w:p>
      <w:pPr>
        <w:pStyle w:val="Heading2"/>
      </w:pPr>
      <w:r>
        <w:t>Erhitzte Tabakprodukte: Reduktion von Emissionen ohne bewiesene klinische Vorteile</w:t>
      </w:r>
    </w:p>
    <w:p>
      <w:r>
        <w:rPr>
          <w:i/>
          <w:color w:val="666666"/>
          <w:sz w:val="18"/>
        </w:rPr>
        <w:t>Bisht A et al.  ·  Front Public Health  ·  21.09.2026  ·  PMID 42835745</w:t>
      </w:r>
    </w:p>
    <w:p>
      <w:r>
        <w:t>Narrative Übersichtsarbeit zu Zusammensetzung, Exposition und Gesundheitsfolgen erhitzter Tabakprodukte (HTPs) im Vergleich zu Zigaretten auf vier Ebenen: Produktemissionen, Biomarker der Humanexposition, individuelle Krankheitsrisiken und Bevölkerungsgesundheitsfolgen.</w:t>
      </w:r>
    </w:p>
    <w:p>
      <w:r>
        <w:rPr>
          <w:b/>
        </w:rPr>
        <w:t xml:space="preserve">Ergebnis: </w:t>
      </w:r>
      <w:r>
        <w:t>HTPs reduzieren zwar einige Verbrennungstoxine im Vergleich zu Zigaretten, sind aber nicht risikofrei. Reduzierte Emissionen und Biomarker belegen nicht automatisch reduzierte klinische Erkrankungen oder Mortalität. Die Bevölkerungsgesundheitsfolgen hängen ab von: Aufnahmemuster, sozialen Kontexten, Nutzungsfrequenz, exklusiv vs. Dual-Konsum, Vorerkrankungen, regulatorischer Umgebung. Bisher keine ausreichende Langzeitepidemiologie.</w:t>
      </w:r>
    </w:p>
    <w:p>
      <w:r>
        <w:rPr>
          <w:b/>
          <w:sz w:val="19"/>
        </w:rPr>
        <w:t xml:space="preserve">Übertragbarkeit: </w:t>
      </w:r>
      <w:r>
        <w:rPr>
          <w:sz w:val="19"/>
        </w:rPr>
        <w:t>Globale Evidenz, Methodik auf deutsches Tabakkontroll-Setting übertragbar</w:t>
      </w:r>
    </w:p>
    <w:p>
      <w:r>
        <w:rPr>
          <w:color w:val="5A7D3A"/>
          <w:sz w:val="18"/>
        </w:rPr>
        <w:t>https://pubmed.ncbi.nlm.nih.gov/42835745/</w:t>
      </w:r>
    </w:p>
    <w:p>
      <w:pPr>
        <w:pStyle w:val="Heading2"/>
      </w:pPr>
      <w:r>
        <w:t>Social Prescribing: Gemeinderessourcen als Antwort auf Systemlastgrenzen</w:t>
      </w:r>
    </w:p>
    <w:p>
      <w:r>
        <w:rPr>
          <w:i/>
          <w:color w:val="666666"/>
          <w:sz w:val="18"/>
        </w:rPr>
        <w:t>Mulligan K  ·  Healthc Pap  ·  Juni 2026  ·  PMID 42834014</w:t>
      </w:r>
    </w:p>
    <w:p>
      <w:r>
        <w:t>Strategiepapier über Social Prescribing als strukturierte Verbindung von Patient:innen mit Gemeinderessourcen durch Linkworker; Analyse für kanadisches Gesundheitssystem unter Berücksichtigung von Klimawandel-Resilienz und Health Equity.</w:t>
      </w:r>
    </w:p>
    <w:p>
      <w:r>
        <w:rPr>
          <w:b/>
        </w:rPr>
        <w:t xml:space="preserve">Ergebnis: </w:t>
      </w:r>
      <w:r>
        <w:t>Modellierung zeigt potenziellen ROI von 4,43 Dollar pro investiertem Dollar. Kanadas System ist an Grenzen angekommen (400 Mrd. CA$/Jahr, 20% ohne Hausarzt, Notfalloverlauf, persistente Health Inequities). Social Prescribing adressiert Systemlastgrenzen durch Umleitung öffentlicher Investitionen in Gemeindeinfrastruktur und bietet Resilienz gegen Klimawandel, Handelsinstabilität und geopolitische Unsicherheit.</w:t>
      </w:r>
    </w:p>
    <w:p>
      <w:r>
        <w:rPr>
          <w:b/>
          <w:sz w:val="19"/>
        </w:rPr>
        <w:t xml:space="preserve">Übertragbarkeit: </w:t>
      </w:r>
      <w:r>
        <w:rPr>
          <w:sz w:val="19"/>
        </w:rPr>
        <w:t>Kanada (gemäßigte Klimazone, hohe Systemvergleichbarkeit mit Deutschland)</w:t>
      </w:r>
    </w:p>
    <w:p>
      <w:r>
        <w:rPr>
          <w:color w:val="5A7D3A"/>
          <w:sz w:val="18"/>
        </w:rPr>
        <w:t>https://pubmed.ncbi.nlm.nih.gov/42834014/</w:t>
      </w:r>
    </w:p>
    <w:p>
      <w:pPr>
        <w:pStyle w:val="Heading2"/>
      </w:pPr>
      <w:r>
        <w:t>Expertenkonsens für vergleichbare Messung von Passivrauchexposition</w:t>
      </w:r>
    </w:p>
    <w:p>
      <w:r>
        <w:rPr>
          <w:i/>
          <w:color w:val="666666"/>
          <w:sz w:val="18"/>
        </w:rPr>
        <w:t>Teijeiro A et al.  ·  Pulmonology  ·  21.08.2026  ·  PMID 42625490</w:t>
      </w:r>
    </w:p>
    <w:p>
      <w:r>
        <w:t>Zwei-Runden-Delphi-Studie mit Expert:innen aus Portugal und Brasilien zur Standardisierung von Fragebogenkonzepten für Passivrauch-Exposition in epidemiologischen Erhebungen.</w:t>
      </w:r>
    </w:p>
    <w:p>
      <w:r>
        <w:rPr>
          <w:b/>
        </w:rPr>
        <w:t xml:space="preserve">Ergebnis: </w:t>
      </w:r>
      <w:r>
        <w:t>Expert:innen einigten sich auf zentrale Messkonzepte: Exposition sollte in spezifischen Settings erfasst werden (Zuhause, Arbeitsplatz, öffentliche/private Verkehrsmittel, Freizeit); Recall-Fragen sollten Stunden indoors/outdoors an Arbeits- und Nicht-Arbeitstagen im letzten Monat abfragen; Expositionsintensität durch Raucheranteil oder wahrgenommene Rauchbelastung beurteilt werden. Länderunterschiede waren minimal. Standardisierte Fragebogen ermöglichen vergleichbare Datenerhebung für evidenzbasierte Tabakpolitik.</w:t>
      </w:r>
    </w:p>
    <w:p>
      <w:r>
        <w:rPr>
          <w:b/>
          <w:sz w:val="19"/>
        </w:rPr>
        <w:t xml:space="preserve">Übertragbarkeit: </w:t>
      </w:r>
      <w:r>
        <w:rPr>
          <w:sz w:val="19"/>
        </w:rPr>
        <w:t>Portugal (EU-Mitgliedstaat), vergleichbares Gesundheitswesen und Klimazone</w:t>
      </w:r>
    </w:p>
    <w:p>
      <w:r>
        <w:rPr>
          <w:color w:val="5A7D3A"/>
          <w:sz w:val="18"/>
        </w:rPr>
        <w:t>https://pubmed.ncbi.nlm.nih.gov/42625490/</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