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Hitze, Klima und Gesundheit</w:t>
      </w:r>
    </w:p>
    <w:p>
      <w:r>
        <w:rPr>
          <w:i/>
          <w:color w:val="666666"/>
          <w:sz w:val="18"/>
        </w:rPr>
        <w:t>Stand: 31.10.2026  |  6 Studien  |  klima.m-vf.de</w:t>
      </w:r>
    </w:p>
    <w:p>
      <w:pPr>
        <w:pStyle w:val="Heading1"/>
      </w:pPr>
      <w:r>
        <w:t>Aufgenommen am 31.10.2026</w:t>
      </w:r>
    </w:p>
    <w:p>
      <w:pPr>
        <w:pStyle w:val="Heading2"/>
      </w:pPr>
      <w:r>
        <w:t>Gesundheitseffekte von Klimaanpassungsmaßnahmen in chinesischen Pilot-Städten</w:t>
      </w:r>
    </w:p>
    <w:p>
      <w:r>
        <w:rPr>
          <w:i/>
          <w:color w:val="666666"/>
          <w:sz w:val="18"/>
        </w:rPr>
        <w:t>Wang C et al.  ·  Front Public Health  ·  14.10.2026  ·  PMID 42959475</w:t>
      </w:r>
    </w:p>
    <w:p>
      <w:r>
        <w:t>Differenz-in-Differenzen-Analyse zu PM₂,₅-Reduktion und modellierter Gesundheitslast in 21 chinesischen Klimaanpassungsstädten (2017–2022) im Vergleich zu 243 Kontrollstädten.</w:t>
      </w:r>
    </w:p>
    <w:p>
      <w:r>
        <w:rPr>
          <w:b/>
        </w:rPr>
        <w:t xml:space="preserve">Ergebnis: </w:t>
      </w:r>
      <w:r>
        <w:t>Die Intervention war mit 3,87 μg/m³ niedrigerem PM₂,₅ assoziiert (95% KI: -6,49 bis -1,25; p=0,0067). Das Modell deutet auf ca. 8,1% niedrigere Luftverschmutzungslast hin (95% KI: -11,32% bis -4,76%), aber keine beobachtete Mortalitätsreduktion. Defensive Kapazitätsanpassungen waren ungleichmäßig und unsicher.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 – Studienmethodik zur Evaluierung von Co-Benefits übertragbar, Temperaturschwellen und Anpassungsniveaus nicht.</w:t>
      </w:r>
    </w:p>
    <w:p>
      <w:r>
        <w:rPr>
          <w:color w:val="5A7D3A"/>
          <w:sz w:val="18"/>
        </w:rPr>
        <w:t>https://pubmed.ncbi.nlm.nih.gov/42959475/</w:t>
      </w:r>
    </w:p>
    <w:p>
      <w:pPr>
        <w:pStyle w:val="Heading2"/>
      </w:pPr>
      <w:r>
        <w:t>Kühlgeräte gegen Hitzschlag im präklinischen Setting</w:t>
      </w:r>
    </w:p>
    <w:p>
      <w:r>
        <w:rPr>
          <w:i/>
          <w:color w:val="666666"/>
          <w:sz w:val="18"/>
        </w:rPr>
        <w:t>Londono MJ et al.  ·  Prehosp Disaster Med  ·  30.10.2026  ·  PMID 42958936</w:t>
      </w:r>
    </w:p>
    <w:p>
      <w:r>
        <w:t>Systematische Bewertung kommerziell verfügbarer Kühlgeräte zur Behandlung von Hitzschlag im Notfall- und Rettungsdiensteinsatz hinsichtlich Effektivität, Gewicht und Feldtauglichkeit.</w:t>
      </w:r>
    </w:p>
    <w:p>
      <w:r>
        <w:rPr>
          <w:b/>
        </w:rPr>
        <w:t xml:space="preserve">Ergebnis: </w:t>
      </w:r>
      <w:r>
        <w:t>Von 18 bewerteten Geräten erfüllten nur 3 die ideale Kühlrate (≥0,155°C/Minute), 2 weitere erreichten akzeptable Leistung (0,078–0,154°C/Minute). Etwa 61% der Geräte berichteten keine Kühlrate. Nur 5 Geräte erfüllten Portabilitätskriterien (≤16 kg), keines kombinierte Effektivität, Portabilität, Feldtauglichkeit und Wiederverwendbarkeit. Ein erhebliches regulatorisches Defizit bei der Erfassung von Leistungsmetriken wurde identifiziert.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USA-Studie; Methodologie zur Bewertung von Hitzenotfallausrüstung übertragbar auf deutsche Notfallmedizin.</w:t>
      </w:r>
    </w:p>
    <w:p>
      <w:r>
        <w:rPr>
          <w:color w:val="5A7D3A"/>
          <w:sz w:val="18"/>
        </w:rPr>
        <w:t>https://pubmed.ncbi.nlm.nih.gov/42958936/</w:t>
      </w:r>
    </w:p>
    <w:p>
      <w:pPr>
        <w:pStyle w:val="Heading2"/>
      </w:pPr>
      <w:r>
        <w:t>Auswirkungen steigender Temperaturen auf neurologische Erkrankungen</w:t>
      </w:r>
    </w:p>
    <w:p>
      <w:r>
        <w:rPr>
          <w:i/>
          <w:color w:val="666666"/>
          <w:sz w:val="18"/>
        </w:rPr>
        <w:t>Pereira GM et al.  ·  Arq Neuropsiquiatr  ·  27.10.2026  ·  PMID 42946002</w:t>
      </w:r>
    </w:p>
    <w:p>
      <w:r>
        <w:t>Systematische Übersicht (2011–2026) zur Assoziation zwischen Temperaturanstieg und Verschlimmerung neurologischer Erkrankungen wie Epilepsie, Schlaganfall, Multiple Sklerose und neurodegenerative Erkrankungen.</w:t>
      </w:r>
    </w:p>
    <w:p>
      <w:r>
        <w:rPr>
          <w:b/>
        </w:rPr>
        <w:t xml:space="preserve">Ergebnis: </w:t>
      </w:r>
      <w:r>
        <w:t>Wärmexposition ist mit höheren Hospitalisierungsraten und akuter Symptomverschlimmerung verbunden, insbesondere Uhthoff-Phänomen bei MS und autonomer Thermoregulationsstörung bei Parkinson. Trotz geografischer und methodischer Unterschiede zeigt sich ein konsistenter Trend erhöhter neurologischer Vulnerabilität gegenüber thermischem Stress.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Übersichtsstudie globaler Literatur; Fensterprinzipien und Risikogruppen auf Deutschland übertragbar.</w:t>
      </w:r>
    </w:p>
    <w:p>
      <w:r>
        <w:rPr>
          <w:color w:val="5A7D3A"/>
          <w:sz w:val="18"/>
        </w:rPr>
        <w:t>https://pubmed.ncbi.nlm.nih.gov/42946002/</w:t>
      </w:r>
    </w:p>
    <w:p>
      <w:pPr>
        <w:pStyle w:val="Heading2"/>
      </w:pPr>
      <w:r>
        <w:t>Luftverschmutzung und genetische Faktoren in der Autismus-Spektrum-Störung</w:t>
      </w:r>
    </w:p>
    <w:p>
      <w:r>
        <w:rPr>
          <w:i/>
          <w:color w:val="666666"/>
          <w:sz w:val="18"/>
        </w:rPr>
        <w:t>Ayyan M et al.  ·  Environ Health  ·  31.07.2026  ·  PMID 42934643</w:t>
      </w:r>
    </w:p>
    <w:p>
      <w:r>
        <w:t>Literaturübersicht zu Umweltfaktoren und genetischen Varianten bei Autismus mit Fokus auf Luftverschmutzung und ihre Mechanismen der Neurotoxizität.</w:t>
      </w:r>
    </w:p>
    <w:p>
      <w:r>
        <w:rPr>
          <w:b/>
        </w:rPr>
        <w:t xml:space="preserve">Ergebnis: </w:t>
      </w:r>
      <w:r>
        <w:t>Feinstaub (PM₂,₅, PM₁₀), Stickoxide, Ozon und Dioxine erhöhen oxidativen Stress und Neuroinflammation und verändern DNA-Methylierungsmuster. Pränatale und frühe postnatale Expositionen sind kritische Fenster für Beeinträchtigung der Synaptogenese und Neurotransmitterbalance. Männer zeigen erhöhte Vulnerabilität aufgrund hormoneller und immunologischer Interaktionen.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Mittlerer Osten und Nordafrika; Mechanismenstudium zur Fensterperspektive übertragbar, absolute Schwellwerte nicht.</w:t>
      </w:r>
    </w:p>
    <w:p>
      <w:r>
        <w:rPr>
          <w:color w:val="5A7D3A"/>
          <w:sz w:val="18"/>
        </w:rPr>
        <w:t>https://pubmed.ncbi.nlm.nih.gov/42934643/</w:t>
      </w:r>
    </w:p>
    <w:p>
      <w:pPr>
        <w:pStyle w:val="Heading2"/>
      </w:pPr>
      <w:r>
        <w:t>Stadtgestaltung, Luftverschmutzung und Schlafqualität</w:t>
      </w:r>
    </w:p>
    <w:p>
      <w:r>
        <w:rPr>
          <w:i/>
          <w:color w:val="666666"/>
          <w:sz w:val="18"/>
        </w:rPr>
        <w:t>Li J et al.  ·  BMC Public Health  ·  30.07.2026  ·  PMID 42934598</w:t>
      </w:r>
    </w:p>
    <w:p>
      <w:r>
        <w:t>Längsschnittstudie an 18.891 Erwachsenen in China (2015–2023) zur Assoziation zwischen Merkmalen der bebauten Umwelt (Grünflächen, Lichtverschmutzung, Verkehrsnähe) und Schlafveränderungen, mediiert durch Luftverschmutzung.</w:t>
      </w:r>
    </w:p>
    <w:p>
      <w:r>
        <w:rPr>
          <w:b/>
        </w:rPr>
        <w:t xml:space="preserve">Ergebnis: </w:t>
      </w:r>
      <w:r>
        <w:t>Jede Quartilsteigerung des Umweltmischungsindex war mit +0,057 h/Jahr längererem Schlaf assoziiert. Begehbarkeit (37,4%), Grünflächen (28,4%) und Wasserflächen (26,5%) wirkten protektiv; Bevölkerungsdichte (63,3%) und Lichtverschmutzung (36,7%) negativ. NO₂ und PM₂,₅ erklärten bis zu 45,3% bzw. 21,5% der protektiven Effekte.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China; Studienansatz zur urbanen Exposition-Response übertragbar, Absolutwerte lokationsspezifisch.</w:t>
      </w:r>
    </w:p>
    <w:p>
      <w:r>
        <w:rPr>
          <w:color w:val="5A7D3A"/>
          <w:sz w:val="18"/>
        </w:rPr>
        <w:t>https://pubmed.ncbi.nlm.nih.gov/42934598/</w:t>
      </w:r>
    </w:p>
    <w:p>
      <w:pPr>
        <w:pStyle w:val="Heading2"/>
      </w:pPr>
      <w:r>
        <w:t>Vibrio parahaemolyticus: Meereserwärmung und lebensmittelassoziierte Infektionsrisiken</w:t>
      </w:r>
    </w:p>
    <w:p>
      <w:r>
        <w:rPr>
          <w:i/>
          <w:color w:val="666666"/>
          <w:sz w:val="18"/>
        </w:rPr>
        <w:t>Sanchez-Rojas IC et al.  ·  Pathogens  ·  24.09.2026  ·  PMID 42931162</w:t>
      </w:r>
    </w:p>
    <w:p>
      <w:r>
        <w:t>Narrative Übersicht zu Epidemiologie, Virulenzfaktoren, Antibiotikaresistenzen und klimagetriebenen Risiken von V. parahaemolyticus als Erreger lebensmittelassozierter Gastroenteritis und Aquakulturerkrankungen.</w:t>
      </w:r>
    </w:p>
    <w:p>
      <w:r>
        <w:rPr>
          <w:b/>
        </w:rPr>
        <w:t xml:space="preserve">Ergebnis: </w:t>
      </w:r>
      <w:r>
        <w:t>V. parahaemolyticus wurde in 3,11% von 79.075 Diarrhö-Proben in 11 chinesischen Provinzen und 8,1% von 6.951 Proben in Ostchina nachgewiesen. Zhejiang dokumentierte 383 Ausbrüche mit 4.382 Fällen (2010–2022). Meereserwärmung, Versalzung und veränderte marine Ökosysteme erweitern geografische Verbreitung und saisonale Dynamik.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Mehrländer-Übersicht; One-Health-Konzepte und Klimaschnittstellen auf maritime Regionen Europas übertragbar.</w:t>
      </w:r>
    </w:p>
    <w:p>
      <w:r>
        <w:rPr>
          <w:color w:val="5A7D3A"/>
          <w:sz w:val="18"/>
        </w:rPr>
        <w:t>https://pubmed.ncbi.nlm.nih.gov/42931162/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Hitze, Klima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2026-10-31T06:00:00Z</dcterms:created>
  <dcterms:modified xsi:type="dcterms:W3CDTF">2026-10-31T06:00:00Z</dcterms:modified>
  <cp:category/>
</cp:coreProperties>
</file>