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31.08.2026  |  6 Studien  |  klima.m-vf.de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Luftverschmutzung und Atemwegssymptome in Ecuador: Stickoxide und Schwefeldioxid</w:t>
      </w:r>
    </w:p>
    <w:p>
      <w:r>
        <w:rPr>
          <w:i/>
          <w:color w:val="666666"/>
          <w:sz w:val="18"/>
        </w:rPr>
        <w:t>Piedra JP et al.  ·  Front Public Health  ·  22.07.2026  ·  PMID 42558606</w:t>
      </w:r>
    </w:p>
    <w:p>
      <w:r>
        <w:t>Querschnittsstudie an 1807 ecuadorianischen Arbeitern zur Assoziation zwischen informeller Beschäftigung, satellitengestützten Luftschadstoffmetriken und Atemwegssymptomen.</w:t>
      </w:r>
    </w:p>
    <w:p>
      <w:r>
        <w:rPr>
          <w:b/>
        </w:rPr>
        <w:t xml:space="preserve">Ergebnis: </w:t>
      </w:r>
      <w:r>
        <w:t>Informelle Beschäftigung zeigte stärkste Assoziation mit Atemwegssymptomen: Asthma (aOR 12,56 [95% KI 5,09–32,87]), Giemen (aOR 6,78 [95% KI 1,83–27,89]), chronischer Husten (aOR 4,14 [95% KI 2,26–7,74]). Nach Kontrolle der Höhe: NO₂ und SO₂ primäre unabhängige Umweltprädiktoren für chronische Phlegmen und Husten.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Methodik übertragbar auf Deutschland; Temperaturschwellen und Bevölkerungsanpassung nicht vergleichbar</w:t>
      </w:r>
    </w:p>
    <w:p>
      <w:r>
        <w:rPr>
          <w:color w:val="5A7D3A"/>
          <w:sz w:val="18"/>
        </w:rPr>
        <w:t>https://pubmed.ncbi.nlm.nih.gov/42558606/</w:t>
      </w:r>
    </w:p>
    <w:p>
      <w:pPr>
        <w:pStyle w:val="Heading2"/>
      </w:pPr>
      <w:r>
        <w:t>Luftverschmutzung und Suizidmortalität im Vereinigten Königreich</w:t>
      </w:r>
    </w:p>
    <w:p>
      <w:r>
        <w:rPr>
          <w:i/>
          <w:color w:val="666666"/>
          <w:sz w:val="18"/>
        </w:rPr>
        <w:t>Daoud S et al.  ·  Environ Sci Pollut Res Int  ·  01.08.2026  ·  PMID 42538457</w:t>
      </w:r>
    </w:p>
    <w:p>
      <w:r>
        <w:t>Fixed-Effects-Panel-Regressionsanalyse zur Assoziation zwischen Feinstaubkonzentration (PM₂.₅) und Suizidmortalität in englischen Kommunalverwaltungen (2015–2023).</w:t>
      </w:r>
    </w:p>
    <w:p>
      <w:r>
        <w:rPr>
          <w:b/>
        </w:rPr>
        <w:t xml:space="preserve">Ergebnis: </w:t>
      </w:r>
      <w:r>
        <w:t>Nach Kontrolle von Behörden- und Jahresfesteffekten: PM₂.₅ positiv und signifikant mit Suizidmortalität assoziiert (β = 0,221, p = 0,007). Nichtlineares Modell zeigt U-förmige Beziehung mit Wendepunkt bei 7,8 µg/m³; über diesem Schwellenwert erhöhte Suizidmortalität.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gemäßigte Klimazone, nationale Daten; Kausalität nicht belegt, Ergebnisse explorativer Natur</w:t>
      </w:r>
    </w:p>
    <w:p>
      <w:r>
        <w:rPr>
          <w:color w:val="5A7D3A"/>
          <w:sz w:val="18"/>
        </w:rPr>
        <w:t>https://pubmed.ncbi.nlm.nih.gov/42538457/</w:t>
      </w:r>
    </w:p>
    <w:p>
      <w:pPr>
        <w:pStyle w:val="Heading2"/>
      </w:pPr>
      <w:r>
        <w:t>Innenraumluftqualität in europäischen Schulen: LEARN-Studienprotokoll</w:t>
      </w:r>
    </w:p>
    <w:p>
      <w:r>
        <w:rPr>
          <w:i/>
          <w:color w:val="666666"/>
          <w:sz w:val="18"/>
        </w:rPr>
        <w:t>Berden DP et al.  ·  Front Public Health  ·  02.07.2026  ·  PMID 42465630</w:t>
      </w:r>
    </w:p>
    <w:p>
      <w:r>
        <w:t>Crossover-Interventionsstudie in Schulen (Belgien, Dänemark, Griechenland) zur Bewertung der Auswirkung von Luftreinigern auf Innenraumluftqualität, Expositionsbiomarker und kognitiver Leistung bei 450 Grundschülern.</w:t>
      </w:r>
    </w:p>
    <w:p>
      <w:r>
        <w:rPr>
          <w:b/>
        </w:rPr>
        <w:t xml:space="preserve">Ergebnis: </w:t>
      </w:r>
      <w:r>
        <w:t>Geplante Studie mit detaillierten Messungen flüchtiger organischer Verbindungen, Formaldehyd, polyzyklischer aromatischer Kohlenwasserstoffe und Partikeln (PM₁₀, PM₂.₅, ultrafeine Partikel). Standardisierte kognitive Tests an drei Sprachen, Biomarker in Urin und Blut, Blutdruckmessungen vorgesehen. Primäre Analyse mit gemischten Modellen für Expositions-Reaktions-Beziehungen.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(Belgien, Dänemark, Griechenland), gemäßigte Klimazone, direkt relevant für deutsche Schulen</w:t>
      </w:r>
    </w:p>
    <w:p>
      <w:r>
        <w:rPr>
          <w:color w:val="5A7D3A"/>
          <w:sz w:val="18"/>
        </w:rPr>
        <w:t>https://pubmed.ncbi.nlm.nih.gov/42465630/</w:t>
      </w:r>
    </w:p>
    <w:p>
      <w:pPr>
        <w:pStyle w:val="Heading2"/>
      </w:pPr>
      <w:r>
        <w:t>Hitze und Krankenhausinfektionen: Staphylococcus aureus und E. coli-Bakteriämie</w:t>
      </w:r>
    </w:p>
    <w:p>
      <w:r>
        <w:rPr>
          <w:i/>
          <w:color w:val="666666"/>
          <w:sz w:val="18"/>
        </w:rPr>
        <w:t>Mathé P et al.  ·  PLoS One  ·  14.07.2026  ·  PMID 42447085</w:t>
      </w:r>
    </w:p>
    <w:p>
      <w:r>
        <w:t>Prospektive Multicenter-Studie an sechs deutschen Kliniken zur Auswirkung von Hitzetagen auf die Inzidenz von Staphylococcus aureus und Escherichia coli-Bakteriämie.</w:t>
      </w:r>
    </w:p>
    <w:p>
      <w:r>
        <w:rPr>
          <w:b/>
        </w:rPr>
        <w:t xml:space="preserve">Ergebnis: </w:t>
      </w:r>
      <w:r>
        <w:t>Bei 2870 SAB und 4421 ECB-Fällen (2017–2019): Saisonale Schwankungen (ECB Peak-to-Trough-Ratio 1,33 [95% KI 1,23–1,45], p &lt; 0,001). Bei nosokomialem SAB signifikante Assoziation mit Hitzetagen nach 2 Tagen (IRR 1,45 [95% KI 1,17–1,82], p =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deutschsprachiger Raum, klinische Datenbank, direkte Übertragbarkeit</w:t>
      </w:r>
    </w:p>
    <w:p>
      <w:r>
        <w:rPr>
          <w:color w:val="5A7D3A"/>
          <w:sz w:val="18"/>
        </w:rPr>
        <w:t>https://pubmed.ncbi.nlm.nih.gov/42447085/</w:t>
      </w:r>
    </w:p>
    <w:p>
      <w:pPr>
        <w:pStyle w:val="Heading2"/>
      </w:pPr>
      <w:r>
        <w:t>Ultrafeine Partikel und Mortalität: Europäische und nordamerikanische Querschnittsanalyse</w:t>
      </w:r>
    </w:p>
    <w:p>
      <w:r>
        <w:rPr>
          <w:i/>
          <w:color w:val="666666"/>
          <w:sz w:val="18"/>
        </w:rPr>
        <w:t>Lelieveld J et al.  ·  Cardiovasc Res  ·  26.08.2026  ·  PMID 42417425</w:t>
      </w:r>
    </w:p>
    <w:p>
      <w:r>
        <w:t>Studie integriert Erdbeobachtungen und Machine Learning, um die Langzeitexposition gegenüber Ultrafeinpartikeln (UFP &lt; 100 nm) zu schätzen und die Sterblichkeitsbelastung in urbanen Umgebungen zu bewerten.</w:t>
      </w:r>
    </w:p>
    <w:p>
      <w:r>
        <w:rPr>
          <w:b/>
        </w:rPr>
        <w:t xml:space="preserve">Ergebnis: </w:t>
      </w:r>
      <w:r>
        <w:t>Geschätzte Mortalitätsdichte in Europa: 35,7 (15,8–65,5) pro 100 000 Menschen pro Jahr; Nordamerika: 27,4 (12,9–47,4) pro 100 000. UFP-Exposition und Mortalität besonders hoch in Süd- und Osteuropa. Schätzungsweise 1,99 (0,81–3,89) Millionen überschüssiger Todesfälle pro Jahr global durch UFP.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und Nordamerika, gemäßigte Klimazonen, direkte Relevanz für deutsches Gesundheitssystem</w:t>
      </w:r>
    </w:p>
    <w:p>
      <w:r>
        <w:rPr>
          <w:color w:val="5A7D3A"/>
          <w:sz w:val="18"/>
        </w:rPr>
        <w:t>https://pubmed.ncbi.nlm.nih.gov/42417425/</w:t>
      </w:r>
    </w:p>
    <w:p>
      <w:pPr>
        <w:pStyle w:val="Heading2"/>
      </w:pPr>
      <w:r>
        <w:t>Hitze und sozioökonomische Ungleichheit: Innenhitze als Vermittler bei älteren Frauen</w:t>
      </w:r>
    </w:p>
    <w:p>
      <w:r>
        <w:rPr>
          <w:i/>
          <w:color w:val="666666"/>
          <w:sz w:val="18"/>
        </w:rPr>
        <w:t>Heinken C et al.  ·  Int J Equity Health  ·  07.07.2026  ·  PMID 42415109</w:t>
      </w:r>
    </w:p>
    <w:p>
      <w:r>
        <w:t>Studie untersucht den vermittelnden Effekt der häuslichen Wärmeexposition auf die Beziehung zwischen Sozioökonomie und Hitzeerschöpfung bei älteren Erwachsenen in Deutschland.</w:t>
      </w:r>
    </w:p>
    <w:p>
      <w:r>
        <w:rPr>
          <w:b/>
        </w:rPr>
        <w:t xml:space="preserve">Ergebnis: </w:t>
      </w:r>
      <w:r>
        <w:t>Geringeres Einkommen war mit höherer Hitzeerschöpfung bei älteren Frauen verbunden (Gesamt-Effekt β = -0,09 [-0,14; -0,03]); häusliche Wärmeexposition vermittelte 11% dieser Assoziation. Keine signifikante Mediation durch Wärmeexposition bei Männern gefunden.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gemäßigte Klimazone, aktuell, direkter Bezug zu Gesundheitssystem und Risikogruppen</w:t>
      </w:r>
    </w:p>
    <w:p>
      <w:r>
        <w:rPr>
          <w:color w:val="5A7D3A"/>
          <w:sz w:val="18"/>
        </w:rPr>
        <w:t>https://pubmed.ncbi.nlm.nih.gov/42415109/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