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29.10.2026  |  6 Studien  |  klima.m-vf.de</w:t>
      </w:r>
    </w:p>
    <w:p>
      <w:pPr>
        <w:pStyle w:val="Heading1"/>
      </w:pPr>
      <w:r>
        <w:t>Aufgenommen am 29.10.2026</w:t>
      </w:r>
    </w:p>
    <w:p>
      <w:pPr>
        <w:pStyle w:val="Heading2"/>
      </w:pPr>
      <w:r>
        <w:t>Hitze und Lebensmittelinfektionen: Vorhersagefenster für E.-coli-Ausbrüche</w:t>
      </w:r>
    </w:p>
    <w:p>
      <w:r>
        <w:rPr>
          <w:i/>
          <w:color w:val="666666"/>
          <w:sz w:val="18"/>
        </w:rPr>
        <w:t>Kim S et al.  ·  Environ Health Prev Med  ·  2026  ·  PMID 42951577</w:t>
      </w:r>
    </w:p>
    <w:p>
      <w:r>
        <w:t>Die Studie untersuchte die zeitliche Verzögerung zwischen Wärmeepisoden und Meldungen von enterohaemorrhagischen E.-coli-Infektionen in Korea über 20 Jahre mittels verteilter Lag-Modelle.</w:t>
      </w:r>
    </w:p>
    <w:p>
      <w:r>
        <w:rPr>
          <w:b/>
        </w:rPr>
        <w:t xml:space="preserve">Ergebnis: </w:t>
      </w:r>
      <w:r>
        <w:t>Die kumulative Hitzeassoziationen erreichten ein signifikantes Maximum über einen 5-6-Wochen-Fenster mit +9,24 % Fällen pro 1 °C Temperaturanstieg (95%-KI: +0,92 bis +18,25; p=0,029). Dies bietet operativ nutzbares Vorlaufzeit für Lebensmittelsicherheitsbehörden.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Korea (gemäßigte Klimazone, gut vergleichbar); Methodik und Vorhersagefenster sind auf Deutschland übertragbar</w:t>
      </w:r>
    </w:p>
    <w:p>
      <w:r>
        <w:rPr>
          <w:color w:val="5A7D3A"/>
          <w:sz w:val="18"/>
        </w:rPr>
        <w:t>https://pubmed.ncbi.nlm.nih.gov/42951577/</w:t>
      </w:r>
    </w:p>
    <w:p>
      <w:pPr>
        <w:pStyle w:val="Heading2"/>
      </w:pPr>
      <w:r>
        <w:t>Hitze und Kinder in Ozeanien: Sterblichkeitskosten verdoppelt sich</w:t>
      </w:r>
    </w:p>
    <w:p>
      <w:r>
        <w:rPr>
          <w:i/>
          <w:color w:val="666666"/>
          <w:sz w:val="18"/>
        </w:rPr>
        <w:t>Beggs PJ et al.  ·  Med J Aust  ·  Nov. 2026  ·  PMID 42949401</w:t>
      </w:r>
    </w:p>
    <w:p>
      <w:r>
        <w:t>Der MJA-Lancet-Countdown analysierte über mehrere Indikatoren hinweg die Expositionseffekte des Klimawandels auf die physische und psychische Gesundheit von Kindern und Erwachsenen in Australien und Neuseeland.</w:t>
      </w:r>
    </w:p>
    <w:p>
      <w:r>
        <w:rPr>
          <w:b/>
        </w:rPr>
        <w:t xml:space="preserve">Ergebnis: </w:t>
      </w:r>
      <w:r>
        <w:t>Hitzebedingte Mortalität allein verursachte 2021-2025 geschätzte US$1,49 Mrd./Jahr (Gesamtkosten &gt;doppelt gegenüber Anfang 2000er). 50 % der 14-19-jährigen Australier berichten Besorgnis um Klimawirkungen; ca. 1:7 geben an, dies beeinträchtigt täglich ihr Leben.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Ozeanien (höhere Temperaturen als Mitteleuropa); Ansätze zur Erfassung psychischer Gesundheitsfolgen übertragbar</w:t>
      </w:r>
    </w:p>
    <w:p>
      <w:r>
        <w:rPr>
          <w:color w:val="5A7D3A"/>
          <w:sz w:val="18"/>
        </w:rPr>
        <w:t>https://pubmed.ncbi.nlm.nih.gov/42949401/</w:t>
      </w:r>
    </w:p>
    <w:p>
      <w:pPr>
        <w:pStyle w:val="Heading2"/>
      </w:pPr>
      <w:r>
        <w:t>Hitze, Kälte und Blutdruck: Klinisches Übersichtswerk</w:t>
      </w:r>
    </w:p>
    <w:p>
      <w:r>
        <w:rPr>
          <w:i/>
          <w:color w:val="666666"/>
          <w:sz w:val="18"/>
        </w:rPr>
        <w:t>Denolle T et al.  ·  Blood Press  ·  28.10.2026  ·  PMID 42948965</w:t>
      </w:r>
    </w:p>
    <w:p>
      <w:r>
        <w:t>Ein europäisches Expertenpapier analysierte die Rolle von Temperaturextremen, Lärmexposition, Lichtverschmutzung und psychosozialen Faktoren als Treiber von Hypertonie und Herz-Kreislauf-Erkrankungen.</w:t>
      </w:r>
    </w:p>
    <w:p>
      <w:r>
        <w:rPr>
          <w:b/>
        </w:rPr>
        <w:t xml:space="preserve">Ergebnis: </w:t>
      </w:r>
      <w:r>
        <w:t>Sowohl Hitze als auch Kälte sind mit erhöhter kardiovaskulärer Morbidität und Mortalität assoziiert, Kälte wirkt jedoch stärker. PM2.5-Erhöhung um 10 µg/m³ ist mit 4 % Zunahme der Hypertonieprävalenz verbunden; Verkehrslärm erhöht das Hypertonierisiko durch neurohormonale und oxidative Pathomechanismen.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 (französisch-belgische Gruppe); direkt übertragbar auf deutsches Versorgungssystem</w:t>
      </w:r>
    </w:p>
    <w:p>
      <w:r>
        <w:rPr>
          <w:color w:val="5A7D3A"/>
          <w:sz w:val="18"/>
        </w:rPr>
        <w:t>https://pubmed.ncbi.nlm.nih.gov/42948965/</w:t>
      </w:r>
    </w:p>
    <w:p>
      <w:pPr>
        <w:pStyle w:val="Heading2"/>
      </w:pPr>
      <w:r>
        <w:t>Überlappende Krisen und Jugendliche: Psychische Belastung in Brasilien</w:t>
      </w:r>
    </w:p>
    <w:p>
      <w:r>
        <w:rPr>
          <w:i/>
          <w:color w:val="666666"/>
          <w:sz w:val="18"/>
        </w:rPr>
        <w:t>Procópio JA et al.  ·  BMC Public Health  ·  31.07.2026  ·  PMID 42947106</w:t>
      </w:r>
    </w:p>
    <w:p>
      <w:r>
        <w:t>Studie analysierte die Auswirkungen der zeitlichen Überlappung einer Regenkatastrophe mit der COVID-19-Pandemie auf die psychische Gesundheit von Jugendlichen mittels Vergleich der Primärversorgungsnachfrage.</w:t>
      </w:r>
    </w:p>
    <w:p>
      <w:r>
        <w:rPr>
          <w:b/>
        </w:rPr>
        <w:t xml:space="preserve">Ergebnis: </w:t>
      </w:r>
      <w:r>
        <w:t>Nach Katastrophenüberlappung (Feb. 2022) war die mentale-Gesundheits-Konsultationsrate 166,2 % höher als vor der Pandemie und 318,4 % höher als in den ersten 6 Monaten der Pandemie, insbesondere bei 14-17-jährigen Jungen (p&lt;0,05).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 – methodisch relevant, aber Bevölkerungskontext und Klimazone unterscheiden sich; Prinzipien zur Erfassung psychischer Notlagen bei Compound Disasters gelten</w:t>
      </w:r>
    </w:p>
    <w:p>
      <w:r>
        <w:rPr>
          <w:color w:val="5A7D3A"/>
          <w:sz w:val="18"/>
        </w:rPr>
        <w:t>https://pubmed.ncbi.nlm.nih.gov/42947106/</w:t>
      </w:r>
    </w:p>
    <w:p>
      <w:pPr>
        <w:pStyle w:val="Heading2"/>
      </w:pPr>
      <w:r>
        <w:t>Klimakompetenz von Gesundheitsberufen: Schulungserfolg in Europa</w:t>
      </w:r>
    </w:p>
    <w:p>
      <w:r>
        <w:rPr>
          <w:i/>
          <w:color w:val="666666"/>
          <w:sz w:val="18"/>
        </w:rPr>
        <w:t>Twomey EP et al.  ·  Eur J Public Health  ·  09.10.2026  ·  PMID 42946661</w:t>
      </w:r>
    </w:p>
    <w:p>
      <w:r>
        <w:t>Die Studie evaluierte einen 10-wöchigen Online-Kurs zur Stärkung von Klimakompetenz bei 446 europäischen Gesundheitsfachpersonen mittels Pre-Post-Fragebogen zu sechs Kompetenzbereichen.</w:t>
      </w:r>
    </w:p>
    <w:p>
      <w:r>
        <w:rPr>
          <w:b/>
        </w:rPr>
        <w:t xml:space="preserve">Ergebnis: </w:t>
      </w:r>
      <w:r>
        <w:t>Statistisch signifikante Verbesserungen across alle sechs Kompetenzbereiche (p&lt;0,001); Konfidenzsteigerung im Mittel um 45-59 %, konsistent über europäische Subregionen, trotz unterschiedlicher Policy- und Institutionskontexte.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Europaweites Sample aus 119 Ländern, 446 aus WHO-Europaregion; Curriculummodell direkt auf deutsche Aus- und Weiterbildung anwendbar</w:t>
      </w:r>
    </w:p>
    <w:p>
      <w:r>
        <w:rPr>
          <w:color w:val="5A7D3A"/>
          <w:sz w:val="18"/>
        </w:rPr>
        <w:t>https://pubmed.ncbi.nlm.nih.gov/42946661/</w:t>
      </w:r>
    </w:p>
    <w:p>
      <w:pPr>
        <w:pStyle w:val="Heading2"/>
      </w:pPr>
      <w:r>
        <w:t>Candida auris: Pilzpathogen und Klimawandel-Signal</w:t>
      </w:r>
    </w:p>
    <w:p>
      <w:r>
        <w:rPr>
          <w:i/>
          <w:color w:val="666666"/>
          <w:sz w:val="18"/>
        </w:rPr>
        <w:t>Schuh CE et al.  ·  mSphere  ·  27.10.2026  ·  PMID 42825548</w:t>
      </w:r>
    </w:p>
    <w:p>
      <w:r>
        <w:t>Das Übersichtspapier analysiert die evolutionsbiologischen und ökologischen Mechanismen, durch die Candidaauris als thermotoleranter multiresistenter Erreger die thermale Schutzbarriere der Mammalia durchbricht – ein Warnsignal für weitere Pilzemergenzen.</w:t>
      </w:r>
    </w:p>
    <w:p>
      <w:r>
        <w:rPr>
          <w:b/>
        </w:rPr>
        <w:t xml:space="preserve">Ergebnis: </w:t>
      </w:r>
      <w:r>
        <w:t>C. auris gedeiht bei 37 °C (normale Körpertemperatur), toleriert bis 47 °C, ist resistent gegen alle drei Antifungal-Klassen und verursacht invasive Infektionen mit 30-60 % Mortalität; die unabhängige Entstehung genetisch distinkter Klone auf mehreren Kontinenten deutet auf gemeinsame Selektionsdrücke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Globales Phänomen; Mechanismusverständnis ist zonenunabhängig; klinische Relevanz für deutsche Kliniken bereits gegeben</w:t>
      </w:r>
    </w:p>
    <w:p>
      <w:r>
        <w:rPr>
          <w:color w:val="5A7D3A"/>
          <w:sz w:val="18"/>
        </w:rPr>
        <w:t>https://pubmed.ncbi.nlm.nih.gov/42825548/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2026-10-29T06:00:00Z</dcterms:created>
  <dcterms:modified xsi:type="dcterms:W3CDTF">2026-10-29T06:00:00Z</dcterms:modified>
  <cp:category/>
</cp:coreProperties>
</file>