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10.09.2026  |  6 Studien  |  klima.m-vf.de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Temperaturextreme durch Klimawandel: Auswirkungen auf Immunsystem und Immunerkrankungen</w:t>
      </w:r>
    </w:p>
    <w:p>
      <w:r>
        <w:rPr>
          <w:i/>
          <w:color w:val="666666"/>
          <w:sz w:val="18"/>
        </w:rPr>
        <w:t>Li S et al.  ·  Clin Rev Allergy Immunol  ·  09.09.2026  ·  PMID 42711600</w:t>
      </w:r>
    </w:p>
    <w:p>
      <w:r>
        <w:t>Narrativer Review analysiert multifaktorielle Verbindungen zwischen klimawandel-bedingten Extremtemperaturen und menschlichem Immunsystem sowie damit verbundene Allergien, Autoimmun- und Infektionskrankheiten.</w:t>
      </w:r>
    </w:p>
    <w:p>
      <w:r>
        <w:rPr>
          <w:b/>
        </w:rPr>
        <w:t xml:space="preserve">Ergebnis: </w:t>
      </w:r>
      <w:r>
        <w:t>Extremtemperaturen aktivieren Neuroendokrin-System, triggern Zytokinfreisetzung, regulieren Hitzeschockproteine und induzieren epigenetische Modifikationen. Barrierendysfunktion und Dysbiose beeinträchtigen Immuntoleranz. Kinder, Ältere und chronisch Kranke sind überproportional betroffen; Mechanismen gelten klimazonenübergreifend.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Mechanismen gelten unabhängig von Klimazone; Risikogruppen-Prinzipien auf Deutschland anwendbar.</w:t>
      </w:r>
    </w:p>
    <w:p>
      <w:r>
        <w:rPr>
          <w:color w:val="5A7D3A"/>
          <w:sz w:val="18"/>
        </w:rPr>
        <w:t>https://pubmed.ncbi.nlm.nih.gov/42711600/</w:t>
      </w:r>
    </w:p>
    <w:p>
      <w:pPr>
        <w:pStyle w:val="Heading2"/>
      </w:pPr>
      <w:r>
        <w:t>Blutdruckmedikamente erhöhen Hitzenotfall-Risiko in Hitzewellen</w:t>
      </w:r>
    </w:p>
    <w:p>
      <w:r>
        <w:rPr>
          <w:i/>
          <w:color w:val="666666"/>
          <w:sz w:val="18"/>
        </w:rPr>
        <w:t>Harley M et al.  ·  Pharmacoepidemiol Drug Saf  ·  Sept. 2026  ·  PMID 42710533</w:t>
      </w:r>
    </w:p>
    <w:p>
      <w:r>
        <w:t>Selbstkontrollierte Fallserie untersuchte Assoziationen zwischen Antihypertonika-Nutzung und Hitze-bedingten Erkrankungen während Hitzewellen in Japan (2014-2019).</w:t>
      </w:r>
    </w:p>
    <w:p>
      <w:r>
        <w:rPr>
          <w:b/>
        </w:rPr>
        <w:t xml:space="preserve">Ergebnis: </w:t>
      </w:r>
      <w:r>
        <w:t>Personen unter Antihypertonika hatten während Hitzewellen eine 1,64-fach höhere Inzidenzrate von Hitzeerkrankungen (95% KI: 1,53–1,75) vs. Baseline, deutlich höher als bei Unbehandelten (1,42; 1,27–1,58; p&lt;0,01 Interaktion).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 (gemäßigte Klimazone), Versorgungsdaten; hohe Übertragbarkeit auf Deutschland.</w:t>
      </w:r>
    </w:p>
    <w:p>
      <w:r>
        <w:rPr>
          <w:color w:val="5A7D3A"/>
          <w:sz w:val="18"/>
        </w:rPr>
        <w:t>https://pubmed.ncbi.nlm.nih.gov/42710533/</w:t>
      </w:r>
    </w:p>
    <w:p>
      <w:pPr>
        <w:pStyle w:val="Heading2"/>
      </w:pPr>
      <w:r>
        <w:t>Langzeit-Luftschadstoff-Expositionsbewertung in der Epidemiologie: Methoden und Vergleich</w:t>
      </w:r>
    </w:p>
    <w:p>
      <w:r>
        <w:rPr>
          <w:i/>
          <w:color w:val="666666"/>
          <w:sz w:val="18"/>
        </w:rPr>
        <w:t>Boogaard H et al.  ·  Curr Environ Health Rep  ·  31.08.2026  ·  PMID 42671733</w:t>
      </w:r>
    </w:p>
    <w:p>
      <w:r>
        <w:t>Multinationaler Bericht über verbesserte Verfahren zur Erfassung chronischer Außenluftverschmutzungs-Expositionen in Nordamerika und Europa mit Validierung verschiedener Expositionsmodelle.</w:t>
      </w:r>
    </w:p>
    <w:p>
      <w:r>
        <w:rPr>
          <w:b/>
        </w:rPr>
        <w:t xml:space="preserve">Ergebnis: </w:t>
      </w:r>
      <w:r>
        <w:t>Modelle zeigten hohe Korrelation (&gt;0,7) zwischen verschiedenen Expositionsschätzungen; Gesundheitseffekt-Schätzungen blieben konsistent, obwohl die Magnitude variierte. Zukünftige Arbeiten müssen Validierungsdaten und Expositionsmessfehler berücksichtigen.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Nordamerika und Europa, vergleichbare Methodologie zur Expositionsabschätzung.</w:t>
      </w:r>
    </w:p>
    <w:p>
      <w:r>
        <w:rPr>
          <w:color w:val="5A7D3A"/>
          <w:sz w:val="18"/>
        </w:rPr>
        <w:t>https://pubmed.ncbi.nlm.nih.gov/42671733/</w:t>
      </w:r>
    </w:p>
    <w:p>
      <w:pPr>
        <w:pStyle w:val="Heading2"/>
      </w:pPr>
      <w:r>
        <w:t>HEPA-Filter in Altenheimen: Keine Reduktion von Atemwegsinfektionen</w:t>
      </w:r>
    </w:p>
    <w:p>
      <w:r>
        <w:rPr>
          <w:i/>
          <w:color w:val="666666"/>
          <w:sz w:val="18"/>
        </w:rPr>
        <w:t>Hay AD et al.  ·  JAMA Intern Med  ·  01.09.2026  ·  PMID 42507455</w:t>
      </w:r>
    </w:p>
    <w:p>
      <w:r>
        <w:t>Cluster-randomisierte Studie in 91 englischen Pflegeheimen (2021-2024) testete tragbare HEPA-Filter in Gemeinschafts- und Schlafzimmern gegen Atemwegsinfektionen.</w:t>
      </w:r>
    </w:p>
    <w:p>
      <w:r>
        <w:rPr>
          <w:b/>
        </w:rPr>
        <w:t xml:space="preserve">Ergebnis: </w:t>
      </w:r>
      <w:r>
        <w:t>Kein Unterschied bei Atemwegsinfektionen pro Winter pro Bewohner zwischen Intervention (0,99) und Kontrolle (1,04; adj. IRR 0,92; 95% KI 0,64–1,33; p=0,67). Auch keine Reduktion von Personalausfällen (adj. IRR 0,80; 0,55–1,16; p=0,24).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Altenheim-Setting; vergleichbare Infrastruktur und Versorgungssystem.</w:t>
      </w:r>
    </w:p>
    <w:p>
      <w:r>
        <w:rPr>
          <w:color w:val="5A7D3A"/>
          <w:sz w:val="18"/>
        </w:rPr>
        <w:t>https://pubmed.ncbi.nlm.nih.gov/42507455/</w:t>
      </w:r>
    </w:p>
    <w:p>
      <w:pPr>
        <w:pStyle w:val="Heading2"/>
      </w:pPr>
      <w:r>
        <w:t>Luftschadstoff-Kombinationsexposition und Hirnerkrankungen: Proteinbiomarker-Mechanismen</w:t>
      </w:r>
    </w:p>
    <w:p>
      <w:r>
        <w:rPr>
          <w:i/>
          <w:color w:val="666666"/>
          <w:sz w:val="18"/>
        </w:rPr>
        <w:t>Feng TJ et al.  ·  Environ Pollut  ·  01.10.2026  ·  PMID 42364865</w:t>
      </w:r>
    </w:p>
    <w:p>
      <w:r>
        <w:t>Prospektive Kohortenstudie (UK Biobank) analysierte Assoziationen zwischen kombinierter Außenluftverschmutzungs-Exposition (PM2,5, NOx, NO₂) und Hirnerkrankungen mittels Proteomik-Signatur.</w:t>
      </w:r>
    </w:p>
    <w:p>
      <w:r>
        <w:rPr>
          <w:b/>
        </w:rPr>
        <w:t xml:space="preserve">Ergebnis: </w:t>
      </w:r>
      <w:r>
        <w:t>Erhöhtes Risiko für Hirnerkrankungen, neurologische und psychiatrische Störungen bei hoher Luftschadstoff-Exposition: HR 1,022–1,036 je 12er-Einheit Composite-Score. Systemische Inflammation identifiziert als potentieller Mechanismus (moderate Mediationseffekte).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europäische Bevölkerung; Methodik übertragbar, absolute Assoziationen nicht direkt auf Deutschland.</w:t>
      </w:r>
    </w:p>
    <w:p>
      <w:r>
        <w:rPr>
          <w:color w:val="5A7D3A"/>
          <w:sz w:val="18"/>
        </w:rPr>
        <w:t>https://pubmed.ncbi.nlm.nih.gov/42364865/</w:t>
      </w:r>
    </w:p>
    <w:p>
      <w:pPr>
        <w:pStyle w:val="Heading2"/>
      </w:pPr>
      <w:r>
        <w:t>Bromierte Flammschutzmittel in Schulen: Atemwegs- und Hauterkrankungen bei Kindern</w:t>
      </w:r>
    </w:p>
    <w:p>
      <w:r>
        <w:rPr>
          <w:i/>
          <w:color w:val="666666"/>
          <w:sz w:val="18"/>
        </w:rPr>
        <w:t>Hatem G et al.  ·  J Hazard Mater  ·  01.08.2026  ·  PMID 42361640</w:t>
      </w:r>
    </w:p>
    <w:p>
      <w:r>
        <w:t>Portugiesische Querschnittsstudie in 20 Grundschulen untersuchte Indoor-Luftkonzentrationen bromierter Flammschutzmittel (PBDEs, Ersatzstoffe) und Assoziationen mit kindlichen Atemwegs- und Hauterkrankungen.</w:t>
      </w:r>
    </w:p>
    <w:p>
      <w:r>
        <w:rPr>
          <w:b/>
        </w:rPr>
        <w:t xml:space="preserve">Ergebnis: </w:t>
      </w:r>
      <w:r>
        <w:t>Σ Flammschutzmittel rangierten 28–155 pg/m³; BDE-209 assoziiert mit erhöhten Odds für Asthma-Vorgeschichte (OR 2,13; 1,09–5,11) und aktuelles Keuchen (OR 1,75; 1,17–3,18). Höhere Odds für aktuelles Asthma (OR 1,93; 1,29–3,91). Nicht-BDE Ersatzstoffe assoziiert mit Ekzemen (OR 2,88; 1,65–5,46).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europäische Schulen, vergleichbare Klimazone; Expositionen und Gesundheitsergebnisse übertragbar.</w:t>
      </w:r>
    </w:p>
    <w:p>
      <w:r>
        <w:rPr>
          <w:color w:val="5A7D3A"/>
          <w:sz w:val="18"/>
        </w:rPr>
        <w:t>https://pubmed.ncbi.nlm.nih.gov/42361640/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2026-09-10T06:00:00Z</dcterms:created>
  <dcterms:modified xsi:type="dcterms:W3CDTF">2026-09-10T06:00:00Z</dcterms:modified>
  <cp:category/>
</cp:coreProperties>
</file>