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27.08.2026  |  6 Studien  |  klima.m-vf.de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Kinder exponentiell stärker durch vom Menschen verursachte Hitzestress-Tage belastet</w:t>
      </w:r>
    </w:p>
    <w:p>
      <w:r>
        <w:rPr>
          <w:i/>
          <w:color w:val="666666"/>
          <w:sz w:val="18"/>
        </w:rPr>
        <w:t>Pietroiusti R et al.  ·  Sci Adv  ·  28.08.2026  ·  PMID 42647621</w:t>
      </w:r>
    </w:p>
    <w:p>
      <w:r>
        <w:t>Studie vergleicht die Exposition von Kindern (0–9 Jahre) gegenüber anthropogenen Hitzestress-Tagen mit älteren Erwachsenen (60–69 Jahre) weltweit.</w:t>
      </w:r>
    </w:p>
    <w:p>
      <w:r>
        <w:rPr>
          <w:b/>
        </w:rPr>
        <w:t xml:space="preserve">Ergebnis: </w:t>
      </w:r>
      <w:r>
        <w:t>Kinder sind 2,8- bis 3-fach häufiger mindestens 20 zusätzlichen hitzestressbedingten Tagen ausgesetzt als ältere Erwachsene; durchschnittlich 9–10 mehr zurechenbare Hitzestress-Tage. Diese intergenerationale Disparität bleibt auch bei 1,5 °C und 2 °C Erwärmung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Perspektive, aber klimazonen- und altersunabhängige Fragestellung zu Hitzevulnerabilität.</w:t>
      </w:r>
    </w:p>
    <w:p>
      <w:r>
        <w:rPr>
          <w:color w:val="5A7D3A"/>
          <w:sz w:val="18"/>
        </w:rPr>
        <w:t>https://pubmed.ncbi.nlm.nih.gov/42647621/</w:t>
      </w:r>
    </w:p>
    <w:p>
      <w:pPr>
        <w:pStyle w:val="Heading2"/>
      </w:pPr>
      <w:r>
        <w:t>Akute Diagnosen bei Hitzeexposition in Notaufnahmen: Hitze-wide Association Study Chicago</w:t>
      </w:r>
    </w:p>
    <w:p>
      <w:r>
        <w:rPr>
          <w:i/>
          <w:color w:val="666666"/>
          <w:sz w:val="18"/>
        </w:rPr>
        <w:t>Jang H et al.  ·  Sci Adv  ·  28.08.2026  ·  PMID 42647618</w:t>
      </w:r>
    </w:p>
    <w:p>
      <w:r>
        <w:t>Analyse von 916.904 Notaufnahmebesuchen in Chicago zur Identifikation akuter Diagnosen, die mit Extremhitze assoziiert sind.</w:t>
      </w:r>
    </w:p>
    <w:p>
      <w:r>
        <w:rPr>
          <w:b/>
        </w:rPr>
        <w:t xml:space="preserve">Ergebnis: </w:t>
      </w:r>
      <w:r>
        <w:t>33 Diagnosen mit erhöhter Kumulation bei Hitzeexposition (Lags 0–3), darunter Flüssigkeits- und Nierenstörungen, dermatologische und druckbedingte Läsionen, multiple Sklerose, Varikose, sowie Verletzungen. Erstmals systematische Erfassung des diagnostischen Spektrums von Hitze-Morbidität in Akutkliniken.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temperate Klimazone, Urban Heat Island-Kontext; methodisch auf Deutschland übertragbar.</w:t>
      </w:r>
    </w:p>
    <w:p>
      <w:r>
        <w:rPr>
          <w:color w:val="5A7D3A"/>
          <w:sz w:val="18"/>
        </w:rPr>
        <w:t>https://pubmed.ncbi.nlm.nih.gov/42647618/</w:t>
      </w:r>
    </w:p>
    <w:p>
      <w:pPr>
        <w:pStyle w:val="Heading2"/>
      </w:pPr>
      <w:r>
        <w:t>Herzwurminfektionen in USA: Ausbreitungspotenzial bis 2100 unter Klimawandel</w:t>
      </w:r>
    </w:p>
    <w:p>
      <w:r>
        <w:rPr>
          <w:i/>
          <w:color w:val="666666"/>
          <w:sz w:val="18"/>
        </w:rPr>
        <w:t>Morchón R et al.  ·  Parasit Vectors  ·  20.08.2026  ·  PMID 42625228</w:t>
      </w:r>
    </w:p>
    <w:p>
      <w:r>
        <w:t>Ökologische Nischenmodelle für Herzwurmvektoren und -transmission mit Projektion der Habitateignung bis 2100.</w:t>
      </w:r>
    </w:p>
    <w:p>
      <w:r>
        <w:rPr>
          <w:b/>
        </w:rPr>
        <w:t xml:space="preserve">Ergebnis: </w:t>
      </w:r>
      <w:r>
        <w:t>Aktuell höchstes Infektionsrisiko im Südosten und Golf-Küstenregion. Projektionen bis 2100 (RCP 8.5) zeigen Ausbreitung ins Mittlerer Westen und Nordosten sowie höhere Lagen. Saisonale Variation: minimales Winterrisiko, Peak im Sommer.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Methodik (Nischenmodelle, GDD-Berechnung) und One Health-Rahmen auf Europa anwendbar, aber absolute Risikoschwellen nicht.</w:t>
      </w:r>
    </w:p>
    <w:p>
      <w:r>
        <w:rPr>
          <w:color w:val="5A7D3A"/>
          <w:sz w:val="18"/>
        </w:rPr>
        <w:t>https://pubmed.ncbi.nlm.nih.gov/42625228/</w:t>
      </w:r>
    </w:p>
    <w:p>
      <w:pPr>
        <w:pStyle w:val="Heading2"/>
      </w:pPr>
      <w:r>
        <w:t>Europäische native Stechmücken als Vektoren: Ökoepidemio­logische Charakterisierung</w:t>
      </w:r>
    </w:p>
    <w:p>
      <w:r>
        <w:rPr>
          <w:i/>
          <w:color w:val="666666"/>
          <w:sz w:val="18"/>
        </w:rPr>
        <w:t>Mbaoma OC et al.  ·  Parasit Vectors  ·  24.07.2026  ·  PMID 42498970</w:t>
      </w:r>
    </w:p>
    <w:p>
      <w:r>
        <w:t>Primäre Übersichtsarbeit zu ökoepidemio­logischen Eigenschaften einheimischer europäischer Stechmückenvektoren für Pathogenübertragung unter Klimawandel.</w:t>
      </w:r>
    </w:p>
    <w:p>
      <w:r>
        <w:rPr>
          <w:b/>
        </w:rPr>
        <w:t xml:space="preserve">Ergebnis: </w:t>
      </w:r>
      <w:r>
        <w:t>Systemische Analyse von Verbreitungsmustern, Habitatpräferenzen, Wirtswahl, Überwinterungsmerkmalen und Pathogenkompetenz europäischer Arten. Identifiziert Forschungslücken: unzureichende ökologische Raumabgrenzung, Rolle in aktueller Epidemiologie, kritische Lebensmerkmale. Fazit: Verbesserter Überwachung und Intervention für expandierende mückenübertragene Krankheiten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Deutschland eingeschlossen; unmittelbare Relevanz für europäische Vektor-Überwachung.</w:t>
      </w:r>
    </w:p>
    <w:p>
      <w:r>
        <w:rPr>
          <w:color w:val="5A7D3A"/>
          <w:sz w:val="18"/>
        </w:rPr>
        <w:t>https://pubmed.ncbi.nlm.nih.gov/42498970/</w:t>
      </w:r>
    </w:p>
    <w:p>
      <w:pPr>
        <w:pStyle w:val="Heading2"/>
      </w:pPr>
      <w:r>
        <w:t>Staubverschmutzung in Europa durch Klimawandel und Desertifikation gestiegen</w:t>
      </w:r>
    </w:p>
    <w:p>
      <w:r>
        <w:rPr>
          <w:i/>
          <w:color w:val="666666"/>
          <w:sz w:val="18"/>
        </w:rPr>
        <w:t>Vasilakos PN et al.  ·  Nature  ·  15.07.2026  ·  PMID 42457993</w:t>
      </w:r>
    </w:p>
    <w:p>
      <w:r>
        <w:t>Studie dokumentiert 10-jährige Trend von Staubeinträgen aus Sahara über Europa mittels Maschinenlernen und Eiskerndaten.</w:t>
      </w:r>
    </w:p>
    <w:p>
      <w:r>
        <w:rPr>
          <w:b/>
        </w:rPr>
        <w:t xml:space="preserve">Ergebnis: </w:t>
      </w:r>
      <w:r>
        <w:t>PM10-Staubkonzentrationen 2012–2021 in Südeuropa durchschnittlich 9,68 ± 4,85 µg/m³ während Staubevents; assoziiert mit 0,67 ± 0,02 % erhöhter Tagessterblichkeit. Eiskerndaten zeigen 110 % Anstieg seit vorindustriellem Zeitalter, hauptsächlich durch nordafrikanische Desertifikation.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direkt auf südeuropa-nahe Regionen in Deutschland übertragbar; Luftschadstoff-Studie mit Klimabezug.</w:t>
      </w:r>
    </w:p>
    <w:p>
      <w:r>
        <w:rPr>
          <w:color w:val="5A7D3A"/>
          <w:sz w:val="18"/>
        </w:rPr>
        <w:t>https://pubmed.ncbi.nlm.nih.gov/42457993/</w:t>
      </w:r>
    </w:p>
    <w:p>
      <w:pPr>
        <w:pStyle w:val="Heading2"/>
      </w:pPr>
      <w:r>
        <w:t>Gesundheitsrisiken durch Trinkwasserunterbrechung in Dürrezeiten: Scoping Review für Hocheinkommensländer</w:t>
      </w:r>
    </w:p>
    <w:p>
      <w:r>
        <w:rPr>
          <w:i/>
          <w:color w:val="666666"/>
          <w:sz w:val="18"/>
        </w:rPr>
        <w:t>Blake DM et al.  ·  Int J Hyg Environ Health  ·  15.07.2026  ·  PMID 42456587</w:t>
      </w:r>
    </w:p>
    <w:p>
      <w:r>
        <w:t>Systematische Übersichtsarbeit zu Gesundheitsfolgen von Wasserversorgungsunterbrechungen während Dürren in Hocheinkommensländern mit Fokus auf Großbritannien.</w:t>
      </w:r>
    </w:p>
    <w:p>
      <w:r>
        <w:rPr>
          <w:b/>
        </w:rPr>
        <w:t xml:space="preserve">Ergebnis: </w:t>
      </w:r>
      <w:r>
        <w:t>33 Studien eingeschlossen; Dürren assoziiert mit verschlechterter Wasserqualität (erhöhte Arsen-, Mangan-, Nickelkonzentrationen), seltene bakterielle Kontamination. Gesundheitsergebnisse: Magen-Darm-Erkrankungen, Chronika-Exazerbationen, mentale Belastung. Höheres Risiko bei privaten Wassersystemen und sozioökonomisch benachteiligten Gruppen; ländliche und landwirtschaftliche Bevölkerung sowie Männer stärker mental belastet.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Australien, USA; Struktur und Klima vergleichbar mit Deutschland.</w:t>
      </w:r>
    </w:p>
    <w:p>
      <w:r>
        <w:rPr>
          <w:color w:val="5A7D3A"/>
          <w:sz w:val="18"/>
        </w:rPr>
        <w:t>https://pubmed.ncbi.nlm.nih.gov/42456587/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