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12.10.2026  |  6 Studien  |  klima.m-vf.de</w:t>
      </w:r>
    </w:p>
    <w:p>
      <w:pPr>
        <w:pStyle w:val="Heading1"/>
      </w:pPr>
      <w:r>
        <w:t>Aufgenommen am 12.10.2026</w:t>
      </w:r>
    </w:p>
    <w:p>
      <w:pPr>
        <w:pStyle w:val="Heading2"/>
      </w:pPr>
      <w:r>
        <w:t>Stickoxide und Naturzeit: Effekte auf Entzündungsmarker bei Übergewicht</w:t>
      </w:r>
    </w:p>
    <w:p>
      <w:r>
        <w:rPr>
          <w:i/>
          <w:color w:val="666666"/>
          <w:sz w:val="18"/>
        </w:rPr>
        <w:t>Dzhambov AM et al.  ·  Arh Hig Rada Toksikol  ·  01.09.2026  ·  PMID 42859413</w:t>
      </w:r>
    </w:p>
    <w:p>
      <w:r>
        <w:t>Eine Querschnittsstudie (2023-2024) in Bulgarien untersuchte bei 90 übergewichtigen Erwachsenen mit metabolischem Syndrom Assoziationen zwischen Wohnumgebungs-Expositionen (Luftverschmutzung, Lärm, Grünflächen) und proinflammatorischen Markern sowie adipositäsbezogenen Parametern.</w:t>
      </w:r>
    </w:p>
    <w:p>
      <w:r>
        <w:rPr>
          <w:b/>
        </w:rPr>
        <w:t xml:space="preserve">Ergebnis: </w:t>
      </w:r>
      <w:r>
        <w:t>Jede 10 μg/m³ Zunahme von NO₂ war assoziiert mit höherer TNF-α-Konzentration (+36,27 %; 95 % KI: −5,66 %, 96,83 %), IL-6 (+41,63 %; 95 % KI: 8,16 %, 85,46 %), CRP (+37,80 %; 95 % KI: 5,89 %, 79,32 %) und Leptin (+25,61 %; 95 % KI: −8,73 %, 72,88 %). Pro 2 Stunden pro Woche Zeit in der Natur sank TNF-α (−20,49 %; 95 % KI: −37,56 %, 1,23 %) und Adiponectin stieg (+10,30 %; 95 % KI: 1,36 %, 20,03 %).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 mit vergleichbarer Infrastruktur; Assoziationen und Prinzipien auf mitteleuropäische Bevölkerung übertragbar.</w:t>
      </w:r>
    </w:p>
    <w:p>
      <w:r>
        <w:rPr>
          <w:color w:val="5A7D3A"/>
          <w:sz w:val="18"/>
        </w:rPr>
        <w:t>https://pubmed.ncbi.nlm.nih.gov/42859413/</w:t>
      </w:r>
    </w:p>
    <w:p>
      <w:pPr>
        <w:pStyle w:val="Heading2"/>
      </w:pPr>
      <w:r>
        <w:t>Berufliche Hitzeexposition und DNA-Schäden bei Aluminiumhütten-Arbeitern</w:t>
      </w:r>
    </w:p>
    <w:p>
      <w:r>
        <w:rPr>
          <w:i/>
          <w:color w:val="666666"/>
          <w:sz w:val="18"/>
        </w:rPr>
        <w:t>Khalifa EM et al.  ·  Int Arch Occup Environ Health  ·  10.10.2026  ·  PMID 42859242</w:t>
      </w:r>
    </w:p>
    <w:p>
      <w:r>
        <w:t>Eine Querschnittsstudie untersuchte bei 93 Arbeitern (47 hitzeexponiert, 46 Kontrolle) in einer ägyptischen Aluminiumproduktionfabrik die Zusammenhänge zwischen Hitzeexposition und oxidativen Stress-Biomarkern sowie DNA-Reparaturgenen.</w:t>
      </w:r>
    </w:p>
    <w:p>
      <w:r>
        <w:rPr>
          <w:b/>
        </w:rPr>
        <w:t xml:space="preserve">Ergebnis: </w:t>
      </w:r>
      <w:r>
        <w:t>Hitzeexponierte Arbeiter zeigten signifikant erhöhte Konzentrationen von Malondialdehyd und 8-OHdG (beide p &lt; 0,001), während Superoxiddismutase, Glutathionperoxidase und Gesamtantioxidantienkapazität sanken (p &lt; 0,001). Die Hitzeexposition war mit erhöhtem oxidativem Stress, DNA-Schäden und verminderter Expression von DNA-Reparatur- und Redox-Regulationsgenen verbunden, was auf compromittierte zelluläre Abwehrmechanismen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Mechanismus ist klimazonenunabhängig; Feldmonitoring mit WBGT übertragbar auch für deutsche Arbeitsplätze.</w:t>
      </w:r>
    </w:p>
    <w:p>
      <w:r>
        <w:rPr>
          <w:color w:val="5A7D3A"/>
          <w:sz w:val="18"/>
        </w:rPr>
        <w:t>https://pubmed.ncbi.nlm.nih.gov/42859242/</w:t>
      </w:r>
    </w:p>
    <w:p>
      <w:pPr>
        <w:pStyle w:val="Heading2"/>
      </w:pPr>
      <w:r>
        <w:t>Radon in Krankenhäusern: Monitoring und Risiko-Stratifizierung</w:t>
      </w:r>
    </w:p>
    <w:p>
      <w:r>
        <w:rPr>
          <w:i/>
          <w:color w:val="666666"/>
          <w:sz w:val="18"/>
        </w:rPr>
        <w:t>Ţenter A et al.  ·  Front Public Health  ·  25.09.2026  ·  PMID 42856963</w:t>
      </w:r>
    </w:p>
    <w:p>
      <w:r>
        <w:t>Eine Großstudie installierte 1700 CR-39-Detektoren in 115 medizinischen Einrichtungen in 40 rumänischen Lokalitäten für dreimonatige Messungen; ausgewertet wurden 1651 valide Messungen zur Schätzung der jährlichen Radon-Aktivitätskonzentration.</w:t>
      </w:r>
    </w:p>
    <w:p>
      <w:r>
        <w:rPr>
          <w:b/>
        </w:rPr>
        <w:t xml:space="preserve">Ergebnis: </w:t>
      </w:r>
      <w:r>
        <w:t>Mittlere Radon-Jahreskonzentration 61 Bq/m³ (Median 40 Bq/m³, geometrisches Mittel 41 Bq/m³). Nur 26 von 1651 Messungen (1,6 %) überschritten den Referenzwert von 300 Bq/m³, alle konzentriert in unteren Stockwerken (25 in Kellern/Erdgeschoss). Höhere Konzentrationen in Radiologie und Zahnkliniken, niedrigere in Krankenhäusern. Gebäude-spezifische Charakteristiken und Stockwerk zeigten signifikante Effekte im Mixed-Effects-Modell.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Europa; Monitoring-Strategie für Kliniken übertragbar auf deutschsprachige Sanitätseinrichtungen.</w:t>
      </w:r>
    </w:p>
    <w:p>
      <w:r>
        <w:rPr>
          <w:color w:val="5A7D3A"/>
          <w:sz w:val="18"/>
        </w:rPr>
        <w:t>https://pubmed.ncbi.nlm.nih.gov/42856963/</w:t>
      </w:r>
    </w:p>
    <w:p>
      <w:pPr>
        <w:pStyle w:val="Heading2"/>
      </w:pPr>
      <w:r>
        <w:t>Klimawandel und Gesundheit in Ländern mit niedrigem Versorgungsniveau</w:t>
      </w:r>
    </w:p>
    <w:p>
      <w:r>
        <w:rPr>
          <w:i/>
          <w:color w:val="666666"/>
          <w:sz w:val="18"/>
        </w:rPr>
        <w:t>Barcellos C et al.  ·  Cien Saude Colet  ·  05.10.2026  ·  PMID 42848628</w:t>
      </w:r>
    </w:p>
    <w:p>
      <w:r>
        <w:t>Ein Expertenpapier analysiert die klimabedingte Belastung für Gesundheitssysteme in peripheren Ländern und vulnerablen Bevölkerungen, besonders im Kontext von Hitzeströmen, Umweltdegradation und mangelhaften Gesundheitsdiensten.</w:t>
      </w:r>
    </w:p>
    <w:p>
      <w:r>
        <w:rPr>
          <w:b/>
        </w:rPr>
        <w:t xml:space="preserve">Ergebnis: </w:t>
      </w:r>
      <w:r>
        <w:t>Zentrale Kernaussage: Klimawandel verursacht geographisch unterschiedliche Gesundheitsfolgen. Periphere Länder und vulnerable Territorien in ihnen erleben Bedingungen aggravierende niedrige Versorgungsqualität und -dichte; dies verstärkt Krankheitsübertragung und nicht-übertragbare Erkrankungen, führt zu Klimaungerechtigkeit. Public Health in peripheren Ländern muss an sozialen und umweltbezogenen Determinanten ansetzen, mit kritischer Haltung zu Adaptationsvorschlägen, die Ungleichheiten reduzieren müssen.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begrenzte Ressourcen; Prinzipien von Klima-Gerechtigkeit und Prioritätenreihung auch für Übergangsphasen in Deutschland relevant.</w:t>
      </w:r>
    </w:p>
    <w:p>
      <w:r>
        <w:rPr>
          <w:color w:val="5A7D3A"/>
          <w:sz w:val="18"/>
        </w:rPr>
        <w:t>https://pubmed.ncbi.nlm.nih.gov/42848628/</w:t>
      </w:r>
    </w:p>
    <w:p>
      <w:pPr>
        <w:pStyle w:val="Heading2"/>
      </w:pPr>
      <w:r>
        <w:t>Klassenzimmer-Luftqualität und Atemwegserkrankungen bei Schülern in Nigeria</w:t>
      </w:r>
    </w:p>
    <w:p>
      <w:r>
        <w:rPr>
          <w:i/>
          <w:color w:val="666666"/>
          <w:sz w:val="18"/>
        </w:rPr>
        <w:t>Eghomwanre AF et al.  ·  Environ Sci Pollut Res Int  ·  28.09.2026  ·  PMID 42804077</w:t>
      </w:r>
    </w:p>
    <w:p>
      <w:r>
        <w:t>Eine Querschnittsstudie in sechs Schulen Nigerias (10 Wochen) maß Luftqualitätsparameter (PM₂,₅, PM₁₀, CO, CO₂) und thermische Behaglichkeit und erfasste respiratorische Symptome mittels Fragebogen und multivariate Regressionsanalyse.</w:t>
      </w:r>
    </w:p>
    <w:p>
      <w:r>
        <w:rPr>
          <w:b/>
        </w:rPr>
        <w:t xml:space="preserve">Ergebnis: </w:t>
      </w:r>
      <w:r>
        <w:t>PM₂,₅ schwankte von 11,2–81,4 μg/m³, PM₁₀ von 20,1–138,6 μg/m³. Alle Hazard-Quotient-Werte (HQ) für PM₂,₅ und PM₁₀ lagen unter 1, deuteten also auf kein chronisches Risiko hin. Jedoch zeigte sich hohe Prävalenz akuter Symptome: Husten (58,2 %), Auswurf (32,5 %), Brustschmerz (26,7 %). Erhöhte PM-Exposition war stark mit Husten assoziiert (p &lt; 0,001) und erhöhte die Chancen für Brustschmerz (bereinigtes OR = 2,74; 95 % KI: 1,35–22,80; p = 0,018).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Tropische Zone mit anderen Anpassungsniveaus; Methodik und Symptom-Mechanismus prinzipiell übertragbar.</w:t>
      </w:r>
    </w:p>
    <w:p>
      <w:r>
        <w:rPr>
          <w:color w:val="5A7D3A"/>
          <w:sz w:val="18"/>
        </w:rPr>
        <w:t>https://pubmed.ncbi.nlm.nih.gov/42804077/</w:t>
      </w:r>
    </w:p>
    <w:p>
      <w:pPr>
        <w:pStyle w:val="Heading2"/>
      </w:pPr>
      <w:r>
        <w:t>PAH-Belastung in Schulen und Wohnungen europäischer Großstädte</w:t>
      </w:r>
    </w:p>
    <w:p>
      <w:r>
        <w:rPr>
          <w:i/>
          <w:color w:val="666666"/>
          <w:sz w:val="18"/>
        </w:rPr>
        <w:t>Aretaki MA et al.  ·  Environ Res  ·  01.11.2026  ·  PMID 42705444</w:t>
      </w:r>
    </w:p>
    <w:p>
      <w:r>
        <w:t>Eine europäische Multizenterstudie bestimmte PAH-Konzentrationen in der Innenraumluft von Schulen, Wohnungen und Sporthallen in sechs Städten (Athen, Barcelona, Colchester, Kopenhagen, Helsinki, Lissabon) und schätzte das Krebsrisiko für Kinder.</w:t>
      </w:r>
    </w:p>
    <w:p>
      <w:r>
        <w:rPr>
          <w:b/>
        </w:rPr>
        <w:t xml:space="preserve">Ergebnis: </w:t>
      </w:r>
      <w:r>
        <w:t>Höchste Median-PAH-Konzentrationen (&gt;50.000 pg/m³) in Schulen und Wohnungen waren mit intensiver lokaler Holzverbrennung verknüpft. Das geschätzte Überschusskrebs-Risiko für eine fünfjährige Primärschul-Expositionsperiode (ECR5) lag über alle Standorte zwischen 10⁻⁸ und 10⁻⁵ und blieb unter dem Schwellwert von 10⁻⁴. Hochmolekulare PAHs waren in Schulen höher als in Wohnungen, niedermolekulare dagegen in Wohnungen dominanter.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Daten, gemäßigte Klimazone, mehrere Länder mit unterschiedlicher Heizpraxis.</w:t>
      </w:r>
    </w:p>
    <w:p>
      <w:r>
        <w:rPr>
          <w:color w:val="5A7D3A"/>
          <w:sz w:val="18"/>
        </w:rPr>
        <w:t>https://pubmed.ncbi.nlm.nih.gov/42705444/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2026-10-12T06:00:00Z</dcterms:created>
  <dcterms:modified xsi:type="dcterms:W3CDTF">2026-10-12T06:00:00Z</dcterms:modified>
  <cp:category/>
</cp:coreProperties>
</file>