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09.09.2026  |  6 Studien  |  klima.m-vf.de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Datenintegration zur Hitzevulnerabilität: Ältere mit Herzerkrankungen</w:t>
      </w:r>
    </w:p>
    <w:p>
      <w:r>
        <w:rPr>
          <w:i/>
          <w:color w:val="666666"/>
          <w:sz w:val="18"/>
        </w:rPr>
        <w:t>Ghosh AK et al.  ·  Med Care  ·  01.10.2026  ·  PMID 42709616</w:t>
      </w:r>
    </w:p>
    <w:p>
      <w:r>
        <w:t>Konzept einer modularen Datenarchitektur zur Integration von Wearables, Temperatursensoren und EHR-Daten für individualisierte Risikobewertung von Extremhitzeereignissen bei älteren Patienten mit Herzerkrankungen.</w:t>
      </w:r>
    </w:p>
    <w:p>
      <w:r>
        <w:rPr>
          <w:b/>
        </w:rPr>
        <w:t xml:space="preserve">Ergebnis: </w:t>
      </w:r>
      <w:r>
        <w:t>Architektur demonstriert, wie personalisierte digitale Gesundheitsdaten (Herzfrequenz, Schlafmuster) mit Innen-/Außentemperaturen gekoppelt werden können, um hitzeabhängige Schwellenwerte, Medikamenteninteraktionen und Komorbiditäten zu identifizieren – System noch präklinisch, zeigt aber Machbarkeit.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(Cornell); Konzept modular übertragbar auf Deutschland für Etablierung von Hitzevorhersage-Warnsystemen.</w:t>
      </w:r>
    </w:p>
    <w:p>
      <w:r>
        <w:rPr>
          <w:color w:val="5A7D3A"/>
          <w:sz w:val="18"/>
        </w:rPr>
        <w:t>https://pubmed.ncbi.nlm.nih.gov/42709616/</w:t>
      </w:r>
    </w:p>
    <w:p>
      <w:pPr>
        <w:pStyle w:val="Heading2"/>
      </w:pPr>
      <w:r>
        <w:t>Klimawandel und nachhaltige Arzneimittelverordnung: Scoping-Review und Rahmenwerk</w:t>
      </w:r>
    </w:p>
    <w:p>
      <w:r>
        <w:rPr>
          <w:i/>
          <w:color w:val="666666"/>
          <w:sz w:val="18"/>
        </w:rPr>
        <w:t>Mueller K et al.  ·  Front Public Health  ·  24.08.2026  ·  PMID 42707945</w:t>
      </w:r>
    </w:p>
    <w:p>
      <w:r>
        <w:t>Scoping-Review (28 Studien, 2088–2025) zu Integration von Klimabewusstsein, Pharmazeutika und Verordnungspraxis in Gesundheitsberufeausbildung und Klinik.</w:t>
      </w:r>
    </w:p>
    <w:p>
      <w:r>
        <w:rPr>
          <w:b/>
        </w:rPr>
        <w:t xml:space="preserve">Ergebnis: </w:t>
      </w:r>
      <w:r>
        <w:t>Meiste Studien aus USA (n=6), UK (n=5), Australien (n=5), Kanada (n=4). Stärkste Evidenz in Anästhesie (n=8) mit Emissionsreduktionen. Keine Studie operationalisierte alle drei Domänen (Klima–Pharmazeutika–Verordnung) bidirektional; Bedarf für integrierte Outcome-fokussierte Rahmenwerke.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Mehrländer-Evidenz; Anwendbar auf deutsche Ausbildungsreformen, aber begrenzte klinische Implementierungsdaten.</w:t>
      </w:r>
    </w:p>
    <w:p>
      <w:r>
        <w:rPr>
          <w:color w:val="5A7D3A"/>
          <w:sz w:val="18"/>
        </w:rPr>
        <w:t>https://pubmed.ncbi.nlm.nih.gov/42707945/</w:t>
      </w:r>
    </w:p>
    <w:p>
      <w:pPr>
        <w:pStyle w:val="Heading2"/>
      </w:pPr>
      <w:r>
        <w:t>Fetalentwicklung und PM2,5-Komponenten: Kritische Gestationsfenster</w:t>
      </w:r>
    </w:p>
    <w:p>
      <w:r>
        <w:rPr>
          <w:i/>
          <w:color w:val="666666"/>
          <w:sz w:val="18"/>
        </w:rPr>
        <w:t>Wei Q et al.  ·  Int J Epidemiol  ·  18.08.2026  ·  PMID 42696274</w:t>
      </w:r>
    </w:p>
    <w:p>
      <w:r>
        <w:t>Prospektive Geburtskohorte (2680 Mutter-Kind-Paare, 9339 Ultraschallmessungen) in Guangzhou zu Effekten spezifischer PM2,5-Komponenten auf fetale Wachstumsmesswerte.</w:t>
      </w:r>
    </w:p>
    <w:p>
      <w:r>
        <w:rPr>
          <w:b/>
        </w:rPr>
        <w:t xml:space="preserve">Ergebnis: </w:t>
      </w:r>
      <w:r>
        <w:t>Kritische Fenster identifiziert: Femural-Länge sensitiv gegenüber Rußkohlenstoff in Woche 12–15; Kopfumfang empfindlich gegenüber Nitraten (Wochen 5–12, 22–24); geschätztes fetales Gewicht reduziert bei Nitratexposition (Wochen 6–8). BC und NO₃⁻ als Hauptkomponenten.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ähnliche Klimazone wie Süddeutschland; Komponenten-Spezifität methodisch relevant, aber chinesische Pollutantsmischung unterscheidet sich.</w:t>
      </w:r>
    </w:p>
    <w:p>
      <w:r>
        <w:rPr>
          <w:color w:val="5A7D3A"/>
          <w:sz w:val="18"/>
        </w:rPr>
        <w:t>https://pubmed.ncbi.nlm.nih.gov/42696274/</w:t>
      </w:r>
    </w:p>
    <w:p>
      <w:pPr>
        <w:pStyle w:val="Heading2"/>
      </w:pPr>
      <w:r>
        <w:t>NHS-Klimastrategie im Gesundheitswesen: Governance-Analyse</w:t>
      </w:r>
    </w:p>
    <w:p>
      <w:r>
        <w:rPr>
          <w:i/>
          <w:color w:val="666666"/>
          <w:sz w:val="18"/>
        </w:rPr>
        <w:t>Robinson S et al.  ·  Health Policy  ·  28.07.2026  ·  PMID 42579956</w:t>
      </w:r>
    </w:p>
    <w:p>
      <w:r>
        <w:t>Qualitative Studie mit 14 Interviews in Londoner NHS-Trusts zu Umsetzung von Klima-Anpassungs- und Minderungsmaßnahmen sowie Governance-Strukturen.</w:t>
      </w:r>
    </w:p>
    <w:p>
      <w:r>
        <w:rPr>
          <w:b/>
        </w:rPr>
        <w:t xml:space="preserve">Ergebnis: </w:t>
      </w:r>
      <w:r>
        <w:t>Mitigation im Fokus, Adaptation unterrepräsentiert. Enabler: starke Führung, zentrale Anleitung, Daten. Barrieren: unklare Priorisierung, komplexe Finanzierung, Infrastruktur-Rückstau, Organisationsapathie. NHS-Governance-Modell zeigte Erfolge und ist Vorbild für andere Hocheinkommensländer.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Großbritannien/NHS-System; Governance-Lessons für deutsches Gesundheitssystem, aber Strukturen unterscheiden sich.</w:t>
      </w:r>
    </w:p>
    <w:p>
      <w:r>
        <w:rPr>
          <w:color w:val="5A7D3A"/>
          <w:sz w:val="18"/>
        </w:rPr>
        <w:t>https://pubmed.ncbi.nlm.nih.gov/42579956/</w:t>
      </w:r>
    </w:p>
    <w:p>
      <w:pPr>
        <w:pStyle w:val="Heading2"/>
      </w:pPr>
      <w:r>
        <w:t>Verkehrsberuhigungsgebiete und Luftqualität: Londoner Modellstudie</w:t>
      </w:r>
    </w:p>
    <w:p>
      <w:r>
        <w:rPr>
          <w:i/>
          <w:color w:val="666666"/>
          <w:sz w:val="18"/>
        </w:rPr>
        <w:t>Khreis H et al.  ·  Environ Res  ·  15.09.2026  ·  PMID 42342017</w:t>
      </w:r>
    </w:p>
    <w:p>
      <w:r>
        <w:t>Modellierung von Verkehrs- und Luftschadstoffänderungen (NO₂, PM2,5) in fünf Low-Traffic-Neighbourhoods (LTNs) in London mit gesundheitlichen Follow-up-Analysen.</w:t>
      </w:r>
    </w:p>
    <w:p>
      <w:r>
        <w:rPr>
          <w:b/>
        </w:rPr>
        <w:t xml:space="preserve">Ergebnis: </w:t>
      </w:r>
      <w:r>
        <w:t>Innerhalb LTNs: NO₂ -0,87%, PM2,5 -0,33%; an Umgebungsstraßen durchschnittlich kein Anstieg (-0,18% NO₂, -0,06% PM2,5). Geschätzte Mortalitätsreduktion: -0,01% (Gesamt), -0,05% (innerhalb LTN); Asthmaprävention: -0,02 bis -0,04%.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London, städtische Umgebung; Methodik auf deutsche Innenstädte übertragbar, absolute Reduktionen gering.</w:t>
      </w:r>
    </w:p>
    <w:p>
      <w:r>
        <w:rPr>
          <w:color w:val="5A7D3A"/>
          <w:sz w:val="18"/>
        </w:rPr>
        <w:t>https://pubmed.ncbi.nlm.nih.gov/42342017/</w:t>
      </w:r>
    </w:p>
    <w:p>
      <w:pPr>
        <w:pStyle w:val="Heading2"/>
      </w:pPr>
      <w:r>
        <w:t>Hitze und Notaufnahmen: Fünf Krankheitsgruppen mit erhöhtem Krankenhauseinweisungsrisiko</w:t>
      </w:r>
    </w:p>
    <w:p>
      <w:r>
        <w:rPr>
          <w:i/>
          <w:color w:val="666666"/>
          <w:sz w:val="18"/>
        </w:rPr>
        <w:t>Flower G et al.  ·  BMJ Open  ·  23.06.2026  ·  PMID 42336790</w:t>
      </w:r>
    </w:p>
    <w:p>
      <w:r>
        <w:t>Fallzeitserie mit über 4 Millionen Krankenhausaufnahmen in England (2008–2019) zur Erfassung kausaler Zusammenhänge zwischen sommerlichen Extremtemperaturen und Krankenhauseinweisungen für verschiedene Erkrankungen.</w:t>
      </w:r>
    </w:p>
    <w:p>
      <w:r>
        <w:rPr>
          <w:b/>
        </w:rPr>
        <w:t xml:space="preserve">Ergebnis: </w:t>
      </w:r>
      <w:r>
        <w:t>Bei 99. Temperaturpercentil versus 50. Perzentil erhöhtes Einweisungsrisiko für: akutes Nierenversagen (RR 1,37), Stoffwechselstörungen (1,28), Infektionen (1,06), Pneumonie (1,07), COPD (1,08). Über 42% der 3,7 Millionen erfassten Aufnahmen betrafen über 75-Jährige; klarer Altersgradienten.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gemäßigte Klimazone, NHS-Daten; Ergebnisse auf Deutschland übertragbar für Hitzeplanungskriterien.</w:t>
      </w:r>
    </w:p>
    <w:p>
      <w:r>
        <w:rPr>
          <w:color w:val="5A7D3A"/>
          <w:sz w:val="18"/>
        </w:rPr>
        <w:t>https://pubmed.ncbi.nlm.nih.gov/42336790/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