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Hitze, Klima und Gesundheit</w:t>
      </w:r>
    </w:p>
    <w:p>
      <w:r>
        <w:rPr>
          <w:i/>
          <w:color w:val="666666"/>
          <w:sz w:val="18"/>
        </w:rPr>
        <w:t>Stand: 18.10.2026  |  6 Studien  |  klima.m-vf.de</w:t>
      </w:r>
    </w:p>
    <w:p>
      <w:pPr>
        <w:pStyle w:val="Heading1"/>
      </w:pPr>
      <w:r>
        <w:t>Aufgenommen am 18.10.2026</w:t>
      </w:r>
    </w:p>
    <w:p>
      <w:pPr>
        <w:pStyle w:val="Heading2"/>
      </w:pPr>
      <w:r>
        <w:t>Soziale Ungleichheiten in Feinstaubexposition während Smog-Saison</w:t>
      </w:r>
    </w:p>
    <w:p>
      <w:r>
        <w:rPr>
          <w:i/>
          <w:color w:val="666666"/>
          <w:sz w:val="18"/>
        </w:rPr>
        <w:t>Sittitoon N et al.  ·  Front Public Health  ·  01.10.2026  ·  PMID 42889179</w:t>
      </w:r>
    </w:p>
    <w:p>
      <w:r>
        <w:t>Querschnittsstudie in Thailand (n=3916) untersuchte, wie Bildung, soziodemografische Faktoren, Schutzverhalten und Umweltfaktoren die PM2,5-bedingten Symptome während der Haze-Saison beeinflussen.</w:t>
      </w:r>
    </w:p>
    <w:p>
      <w:r>
        <w:rPr>
          <w:b/>
        </w:rPr>
        <w:t xml:space="preserve">Ergebnis: </w:t>
      </w:r>
      <w:r>
        <w:t>Respiratorische Symptome waren am häufigsten (80,7%), gefolgt von Augen- (52,8%), Haut- (48,7%) und neurologischen Symptomen (33,1%). Nicht-kompliante Schutzverhalten waren mit erhöhten Chancen für respiratorische und neurologische Symptome verbunden (vs. kompliante Gruppe); höhere PM2,5-Exposition war unabhängig mit erhöhtem Risiko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Südostasien mit höheren Temperaturschwellen; Methodik und Ungleichheitsperspektive aber prinzipiell relevant</w:t>
      </w:r>
    </w:p>
    <w:p>
      <w:r>
        <w:rPr>
          <w:color w:val="5A7D3A"/>
          <w:sz w:val="18"/>
        </w:rPr>
        <w:t>https://pubmed.ncbi.nlm.nih.gov/42889179/</w:t>
      </w:r>
    </w:p>
    <w:p>
      <w:pPr>
        <w:pStyle w:val="Heading2"/>
      </w:pPr>
      <w:r>
        <w:t>Dengue-Virus-Infektion: Klimawandel und geografische Ausbreitung</w:t>
      </w:r>
    </w:p>
    <w:p>
      <w:r>
        <w:rPr>
          <w:i/>
          <w:color w:val="666666"/>
          <w:sz w:val="18"/>
        </w:rPr>
        <w:t>Ooi YS et al.  ·  Nat Rev Dis Primers  ·  15.10.2026  ·  PMID 42881211</w:t>
      </w:r>
    </w:p>
    <w:p>
      <w:r>
        <w:t>Übersichtsarbeit zur Dengue-Epidemiologie, Klinik und Management beschreibt den sich durch Klimawandel und erhöhte Mobilität ausbreitenden geografischen Kreis der Erkrankung von urbanen in ländliche und periurbane Gebiete.</w:t>
      </w:r>
    </w:p>
    <w:p>
      <w:r>
        <w:rPr>
          <w:b/>
        </w:rPr>
        <w:t xml:space="preserve">Ergebnis: </w:t>
      </w:r>
      <w:r>
        <w:t>Jährlich erkranken ca. 100 Millionen Menschen an Dengue. Die geografische Verbreitung erweitert sich durch erhöhtes Reiseaufkommen und Klimawandel; Faktor für die Krankheitslast ist der Shift von urbanen Zentren in ländliche Bereiche, was zukünftige klinische Präsenz und Versorgungsbedarf für Deutschland absehbar macht.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Epidemiologie und Dynamik klimasensitiver Vektorkrankheiten; Management-Prinzipien und Erkennung post-akuter Sequelae relevant</w:t>
      </w:r>
    </w:p>
    <w:p>
      <w:r>
        <w:rPr>
          <w:color w:val="5A7D3A"/>
          <w:sz w:val="18"/>
        </w:rPr>
        <w:t>https://pubmed.ncbi.nlm.nih.gov/42881211/</w:t>
      </w:r>
    </w:p>
    <w:p>
      <w:pPr>
        <w:pStyle w:val="Heading2"/>
      </w:pPr>
      <w:r>
        <w:t>Luftqualitätsveränderungen während COVID-19-Lockdowns in Delhi-Metropolregion</w:t>
      </w:r>
    </w:p>
    <w:p>
      <w:r>
        <w:rPr>
          <w:i/>
          <w:color w:val="666666"/>
          <w:sz w:val="18"/>
        </w:rPr>
        <w:t>Biswas S et al.  ·  Sci Prog  ·  14.10.2026  ·  PMID 42874085</w:t>
      </w:r>
    </w:p>
    <w:p>
      <w:r>
        <w:t>Longitudinale Analyse der Luftqualität (PM2,5, PM10, NOx, SO2, CO, O3) in Delhi-NCR während COVID-19-Lockdown, Wiederöffnung und prä-pandemischer Baseline, mit Fokus auf nichtlineare Dynamiken und Persistenzeffekte.</w:t>
      </w:r>
    </w:p>
    <w:p>
      <w:r>
        <w:rPr>
          <w:b/>
        </w:rPr>
        <w:t xml:space="preserve">Ergebnis: </w:t>
      </w:r>
      <w:r>
        <w:t>Während des Lockdowns stiegen Schadstoffkonzentrationen initial (z. B. PM2,5-Reduktion, dann Rebound), mit mehreren Übergangspunkten. Post-COVID-Luftqualitätsdynamiken blieben stärker mit Lockdown-Bedingungen synchronisiert als mit prä-COVID-Periode, was partielle Persistenz von Verbesserungen anzeigt. Nichtlineare Analyse zeigte veränderte Rekurrenzstrukturen.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Delhi-Metropolregion (Tropen); Methodologie nichtlinearer dynamischer Systeme und Transitions-Analyse übertragbar</w:t>
      </w:r>
    </w:p>
    <w:p>
      <w:r>
        <w:rPr>
          <w:color w:val="5A7D3A"/>
          <w:sz w:val="18"/>
        </w:rPr>
        <w:t>https://pubmed.ncbi.nlm.nih.gov/42874085/</w:t>
      </w:r>
    </w:p>
    <w:p>
      <w:pPr>
        <w:pStyle w:val="Heading2"/>
      </w:pPr>
      <w:r>
        <w:t>Biomasse-Verbrennung und Feinstaub-Gesundheitsrisiken in Indien</w:t>
      </w:r>
    </w:p>
    <w:p>
      <w:r>
        <w:rPr>
          <w:i/>
          <w:color w:val="666666"/>
          <w:sz w:val="18"/>
        </w:rPr>
        <w:t>Bojjagani S et al.  ·  Environ Monit Assess  ·  14.10.2026  ·  PMID 42873321</w:t>
      </w:r>
    </w:p>
    <w:p>
      <w:r>
        <w:t>Feldstudie in Lucknow (Indien) während des Holika-Dahan-Festivals evaluierte PM2,5-Charakteristika, Quellbeiträge und zurechenbare Gesundheitsrisiken bei residentialen und kommerziellen Standorten in drei Phasen.</w:t>
      </w:r>
    </w:p>
    <w:p>
      <w:r>
        <w:rPr>
          <w:b/>
        </w:rPr>
        <w:t xml:space="preserve">Ergebnis: </w:t>
      </w:r>
      <w:r>
        <w:t>PM2,5-Konzentrationen während Holika Dahan stiegen um Faktor 2,0 (residentiell) bzw. 1,4 (kommerziell) vs. prä-Holika-Baseline. Kanzerogenes Risiko (CR) überschritt EPA-Grenzwerte an beiden Standorten; Peak während Holika-Nacht. Nicht-kanzerogener Hazard Index (HI) blieb unter EPA-Grenzen, aber mit beobachteten Spitzenwerten während des Events.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Indien – nur die Expositions- und Risikobewertungsmethodik ist übertragbar; absolute Schwellen nicht</w:t>
      </w:r>
    </w:p>
    <w:p>
      <w:r>
        <w:rPr>
          <w:color w:val="5A7D3A"/>
          <w:sz w:val="18"/>
        </w:rPr>
        <w:t>https://pubmed.ncbi.nlm.nih.gov/42873321/</w:t>
      </w:r>
    </w:p>
    <w:p>
      <w:pPr>
        <w:pStyle w:val="Heading2"/>
      </w:pPr>
      <w:r>
        <w:t>Tabakbedingte Sterblichkeit und Krankheitslast in Indien 1990–2023</w:t>
      </w:r>
    </w:p>
    <w:p>
      <w:r>
        <w:rPr>
          <w:i/>
          <w:color w:val="666666"/>
          <w:sz w:val="18"/>
        </w:rPr>
        <w:t>Mandal C et al.  ·  BMJ Open  ·  30.09.2026  ·  PMID 42816088</w:t>
      </w:r>
    </w:p>
    <w:p>
      <w:r>
        <w:t>Deskriptive Analyse der Global Burden of Disease 2023 quantifizierte tabakattribuierbare Todesfälle und Behinderungen-bereinigte Lebensjahre (DALYs) in Indien für 1990 und 2023 nach Geschlecht, Alter und Expositionstyp.</w:t>
      </w:r>
    </w:p>
    <w:p>
      <w:r>
        <w:rPr>
          <w:b/>
        </w:rPr>
        <w:t xml:space="preserve">Ergebnis: </w:t>
      </w:r>
      <w:r>
        <w:t>Tabakattribuierbare Todesfälle stiegen um 54,7 % (von 745,74 tausend 1990 auf 1.153,98 tausend 2023), DALYs um 15,1 % (27,3 auf 31,4 Mio.). Age-standardisierte Raten sanken aber um 39,8 % (Todesfälle) und 47,8 % (DALYs). Rauchen führte 738,8 tausend Todesfälle 2023 an; Kautabak stieg um 153,7 %, Passivrauchen betraf 325,63 tausend Frauen.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SüdAsien mit anderer Bevölkerungsstruktur; Analysemethodik und Prinzip der Multimorbidität relevant</w:t>
      </w:r>
    </w:p>
    <w:p>
      <w:r>
        <w:rPr>
          <w:color w:val="5A7D3A"/>
          <w:sz w:val="18"/>
        </w:rPr>
        <w:t>https://pubmed.ncbi.nlm.nih.gov/42816088/</w:t>
      </w:r>
    </w:p>
    <w:p>
      <w:pPr>
        <w:pStyle w:val="Heading2"/>
      </w:pPr>
      <w:r>
        <w:t>Luftverschmutzung und Asthmaentwicklung bei Kindern: Endotoxine als Modifikator</w:t>
      </w:r>
    </w:p>
    <w:p>
      <w:r>
        <w:rPr>
          <w:i/>
          <w:color w:val="666666"/>
          <w:sz w:val="18"/>
        </w:rPr>
        <w:t>Zhang L et al.  ·  Environ Res  ·  15.11.2026  ·  PMID 42805479</w:t>
      </w:r>
    </w:p>
    <w:p>
      <w:r>
        <w:t>Kanadas CHILD-Studie untersuchte, ob frühe Exposition gegenüber verkehrsbedingter Luftverschmutzung (NO2) die Asthmaentwicklung und rezidivierendes Keuchen im Kindesalter beeinflusst und wie Innenraum-Endotoxine diese Assoziation verändern.</w:t>
      </w:r>
    </w:p>
    <w:p>
      <w:r>
        <w:rPr>
          <w:b/>
        </w:rPr>
        <w:t xml:space="preserve">Ergebnis: </w:t>
      </w:r>
      <w:r>
        <w:t>NO2-Exposition war mit erhöhtem Asthmarisiko assoziiert (OR 1,36; 95%-KI 1,00–1,84) und rezidivierendem Keuchen (OR 1,34; 95%-KI 1,10–1,64) pro 10 ppb Anstieg. Die Assoziation war signifikant stärker bei hoher Endotoxin-Exposition (OR 3,25; 95%-KI 1,29–8,15), was auf eine Interaktion hindeutet.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Kanada, gemäßigte Klimazone, vergleichbares Versorgungssystem; Methodik und Interaktionsprinzip relevant für Deutschland</w:t>
      </w:r>
    </w:p>
    <w:p>
      <w:r>
        <w:rPr>
          <w:color w:val="5A7D3A"/>
          <w:sz w:val="18"/>
        </w:rPr>
        <w:t>https://pubmed.ncbi.nlm.nih.gov/42805479/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Hitze, Klima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2026-10-18T06:00:00Z</dcterms:created>
  <dcterms:modified xsi:type="dcterms:W3CDTF">2026-10-18T06:00:00Z</dcterms:modified>
  <cp:category/>
</cp:coreProperties>
</file>