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10.10.2026  |  6 Studien  |  klima.m-vf.de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Temperaturvariabilität und Frühgeburtsrisiko in Teheran</w:t>
      </w:r>
    </w:p>
    <w:p>
      <w:r>
        <w:rPr>
          <w:i/>
          <w:color w:val="666666"/>
          <w:sz w:val="18"/>
        </w:rPr>
        <w:t>Yavar ME et al.  ·  Int J Biometeorol  ·  09.10.2026  ·  PMID 42853465</w:t>
      </w:r>
    </w:p>
    <w:p>
      <w:r>
        <w:t>Ökologische Zeitreihenstudie zur Auswirkung des Physiological Equivalent Temperature (PET)-Index auf das Frühgeburtsrisiko in Teheran (2018–2024) mit Daten von täglichen Frühgeburten und meteorologischen Parametern.</w:t>
      </w:r>
    </w:p>
    <w:p>
      <w:r>
        <w:rPr>
          <w:b/>
        </w:rPr>
        <w:t xml:space="preserve">Ergebnis: </w:t>
      </w:r>
      <w:r>
        <w:t>Extreme Kälte (1. Perzentil PET = -1,7 °C) über 0–30 Tage Lag erhöhte das kumulative relative Risiko für Frühgeburten signifikant (RR = 1,25; 95%-KI: 1,02–1,52), mit Effekt hauptsächlich bei 20–30 Tagen Verzögerung. Extreme Hitze (99. Perzentil = 39,1 °C) zeigte keinen signifikanten Effekt (RR = 0,94; 95%-KI: 0,81–1,10).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Tropen/Subtropen – Methodik (Lag-Modellierung) übertragbar; Temperaturschwellen nicht direkt für Deutschland relevant.</w:t>
      </w:r>
    </w:p>
    <w:p>
      <w:r>
        <w:rPr>
          <w:color w:val="5A7D3A"/>
          <w:sz w:val="18"/>
        </w:rPr>
        <w:t>https://pubmed.ncbi.nlm.nih.gov/42853465/</w:t>
      </w:r>
    </w:p>
    <w:p>
      <w:pPr>
        <w:pStyle w:val="Heading2"/>
      </w:pPr>
      <w:r>
        <w:t>Grünflächen und Luftverschmutzung schützen vor biologischer Alterung</w:t>
      </w:r>
    </w:p>
    <w:p>
      <w:r>
        <w:rPr>
          <w:i/>
          <w:color w:val="666666"/>
          <w:sz w:val="18"/>
        </w:rPr>
        <w:t>Ma G et al.  ·  Environ Health Perspect  ·  06.10.2026  ·  PMID 42852352</w:t>
      </w:r>
    </w:p>
    <w:p>
      <w:r>
        <w:t>Beschleunigte Längsschnittstudie mit 11.760 Erwachsenen (20–65 Jahre) in einer hochbelasteten chinesischen Stadt zum Effekt von Grünflächen und Luftschadstoff-Mischung auf biologische Alter-Beschleunigung (BAA).</w:t>
      </w:r>
    </w:p>
    <w:p>
      <w:r>
        <w:rPr>
          <w:b/>
        </w:rPr>
        <w:t xml:space="preserve">Ergebnis: </w:t>
      </w:r>
      <w:r>
        <w:t>Höhere Grünflächen (500 m NDVI) assoziiert mit niedrigerem Risiko für beschleunigtes Altern (OR: 0,84; 95%-KI: 0,75–0,95). Luftschadstoff-Mischung zeigte positive Assoziation mit beschleunigtem Altern (OR: 1,16; 95%-KI: 1,08–1,24), getrieben durch O3 und PM10. 25,0% des protektiven Effekts von Grünflächen war durch Pollutant-Reduktion mediiert.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hochverschmutzt – nur Prinzip übertragbar; biologische Alterungsmarker und Schwellwerte klimazonenabhängig.</w:t>
      </w:r>
    </w:p>
    <w:p>
      <w:r>
        <w:rPr>
          <w:color w:val="5A7D3A"/>
          <w:sz w:val="18"/>
        </w:rPr>
        <w:t>https://pubmed.ncbi.nlm.nih.gov/42852352/</w:t>
      </w:r>
    </w:p>
    <w:p>
      <w:pPr>
        <w:pStyle w:val="Heading2"/>
      </w:pPr>
      <w:r>
        <w:t>Temperaturvariabilität und Schlaganfallrisiko unter Klimawandel</w:t>
      </w:r>
    </w:p>
    <w:p>
      <w:r>
        <w:rPr>
          <w:i/>
          <w:color w:val="666666"/>
          <w:sz w:val="18"/>
        </w:rPr>
        <w:t>Pan Z et al.  ·  Environ Health Perspect  ·  06.10.2026  ·  PMID 42852343</w:t>
      </w:r>
    </w:p>
    <w:p>
      <w:r>
        <w:t>Case-Crossover-Studie mit 1,6 Mio. individuellen Schlaganfall-Fallereignissen (2015–2022) zur Assoziation zwischen kurzfristiger Temperaturvariabilität (TV) und ischämischem Schlaganfall unter Berücksichtigung Langzeit-TV-Adaptation.</w:t>
      </w:r>
    </w:p>
    <w:p>
      <w:r>
        <w:rPr>
          <w:b/>
        </w:rPr>
        <w:t xml:space="preserve">Ergebnis: </w:t>
      </w:r>
      <w:r>
        <w:t>Kurzfristige TV-Exposition signifikant positiv assoziiert mit Schlaganfallrisiko; Langzeit-TV modifizierte Effekt – Populationen in persistently-high-TV-Regionen vulnerabler. Schlaganfälle zurechenbar zu TV verdoppelten sich 2000–2020. Unter Emissions-Szenario SSP5-8.5 prognostiziert: Attributable Fraktion des ischämischen Schlaganfalls +19–58 % bis Jahrhundertende, besonders SW- und Südchina.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Temperaturvariabilität und Adaptationsniveaus nicht direkt übertragbar; Methodik und Konzept (Klimawandel-Impact auf CVD) relevant für Deutschland.</w:t>
      </w:r>
    </w:p>
    <w:p>
      <w:r>
        <w:rPr>
          <w:color w:val="5A7D3A"/>
          <w:sz w:val="18"/>
        </w:rPr>
        <w:t>https://pubmed.ncbi.nlm.nih.gov/42852343/</w:t>
      </w:r>
    </w:p>
    <w:p>
      <w:pPr>
        <w:pStyle w:val="Heading2"/>
      </w:pPr>
      <w:r>
        <w:t>Klimabewusstsein und Öko-Angst von Gesundheitsprofessionals</w:t>
      </w:r>
    </w:p>
    <w:p>
      <w:r>
        <w:rPr>
          <w:i/>
          <w:color w:val="666666"/>
          <w:sz w:val="18"/>
        </w:rPr>
        <w:t>Özdemir T et al.  ·  BMC Health Serv Res  ·  01.10.2026  ·  PMID 42850626</w:t>
      </w:r>
    </w:p>
    <w:p>
      <w:r>
        <w:t>Querschnittsstudie mit 460 Gesundheitsfachleuten in klinischen Einrichtungen zur Beziehung zwischen Klimawandel-Bewusstsein, Öko-Angst-Niveau und Umweltsensibilität.</w:t>
      </w:r>
    </w:p>
    <w:p>
      <w:r>
        <w:rPr>
          <w:b/>
        </w:rPr>
        <w:t xml:space="preserve">Ergebnis: </w:t>
      </w:r>
      <w:r>
        <w:t>Gesundheitsfachleute zeigten moderate Niveaus von Klimabewusstsein und Umweltsensibilität sowie moderate Öko-Angst. Regression ergab signifikante Prädiktoren für Umweltsensibilität: Klimabewusstsein, Krankenpflege-Beruf, Alter ≥45 Jahre und Umweltorganisationsmitgliedschaft. Rumination-Subdimension der Öko-Angst marginal, nicht signifikant (p = 0,064).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vergleichbarer Versorgungskontext – Personalressourcen und Professionalisierung ähnlich; Befunde zur Capacity-Bildung relevant für Deutschland.</w:t>
      </w:r>
    </w:p>
    <w:p>
      <w:r>
        <w:rPr>
          <w:color w:val="5A7D3A"/>
          <w:sz w:val="18"/>
        </w:rPr>
        <w:t>https://pubmed.ncbi.nlm.nih.gov/42850626/</w:t>
      </w:r>
    </w:p>
    <w:p>
      <w:pPr>
        <w:pStyle w:val="Heading2"/>
      </w:pPr>
      <w:r>
        <w:t>Luftverschmutzung und angeborene Herzfehler via Blutproteine</w:t>
      </w:r>
    </w:p>
    <w:p>
      <w:r>
        <w:rPr>
          <w:i/>
          <w:color w:val="666666"/>
          <w:sz w:val="18"/>
        </w:rPr>
        <w:t>Liang C et al.  ·  Nat Commun  ·  09.09.2026  ·  PMID 42850264</w:t>
      </w:r>
    </w:p>
    <w:p>
      <w:r>
        <w:t>Verschachtelte Fall-Kontroll-Studie zum Zusammenhang zwischen pränataler PM2,5-/PM10-/NO2-Exposition und angeborenen Herzfehlern (CHD) über Protein-Signaturen in Mutter- und Nabelschnurserum.</w:t>
      </w:r>
    </w:p>
    <w:p>
      <w:r>
        <w:rPr>
          <w:b/>
        </w:rPr>
        <w:t xml:space="preserve">Ergebnis: </w:t>
      </w:r>
      <w:r>
        <w:t>Mütterliche Exposition gegenüber PM2,5, PM10 und NO2 signifikant assoziiert mit erhöhtem CHD-Risiko in der Perikonzeptionsphase; NO2 zeigte stärksten Effekt. Spezifische Proteine (FGF-4, VEGF-D, MSP, Angiogenin) identifiziert als möglicherweise in Luftverschmutzungs-assoziierten Herzmalformationen beteiligt.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großstädtischer Kontext – Schadstoff-Mix und Pollutant-Niveaus unterscheiden sich von Deutschland deutlich.</w:t>
      </w:r>
    </w:p>
    <w:p>
      <w:r>
        <w:rPr>
          <w:color w:val="5A7D3A"/>
          <w:sz w:val="18"/>
        </w:rPr>
        <w:t>https://pubmed.ncbi.nlm.nih.gov/42850264/</w:t>
      </w:r>
    </w:p>
    <w:p>
      <w:pPr>
        <w:pStyle w:val="Heading2"/>
      </w:pPr>
      <w:r>
        <w:t>Luftschadstoffe und Konjunktivitis-Ambulanzbesuche in Hefei, China</w:t>
      </w:r>
    </w:p>
    <w:p>
      <w:r>
        <w:rPr>
          <w:i/>
          <w:color w:val="666666"/>
          <w:sz w:val="18"/>
        </w:rPr>
        <w:t>Zhang X et al.  ·  Front Public Health  ·  23.09.2026  ·  PMID 42845995</w:t>
      </w:r>
    </w:p>
    <w:p>
      <w:r>
        <w:t>Zeitreihenstudie mit 73.043 Konjunktivitis-Ambulanzbesuchen (2014–2023) zur Assoziation zwischen fünf Luftschadstoffen (PM2,5, PM10, O3, NO2, SO2) und Erkrankungsrisiko.</w:t>
      </w:r>
    </w:p>
    <w:p>
      <w:r>
        <w:rPr>
          <w:b/>
        </w:rPr>
        <w:t xml:space="preserve">Ergebnis: </w:t>
      </w:r>
      <w:r>
        <w:t>Alle fünf Luftschadstoffe zeigten positive Assoziationen mit erhöhtem Konjunktivitis-Risiko; SO2 zeigte den stärksten Same-Day-Effekt (Lag 0), gefolgt von NO2. Effektgröße variierte zwischen Schadstoffen; Subgruppeneffekte nach Geschlecht, Alter und Jahreszeit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gemäßigte bis subtropische Klimazone; Methodik übertragbar, aber Pollutant-Mix unterscheidet sich regional von Deutschland.</w:t>
      </w:r>
    </w:p>
    <w:p>
      <w:r>
        <w:rPr>
          <w:color w:val="5A7D3A"/>
          <w:sz w:val="18"/>
        </w:rPr>
        <w:t>https://pubmed.ncbi.nlm.nih.gov/42845995/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