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Hitze, Klima und Gesundheit</w:t>
      </w:r>
    </w:p>
    <w:p>
      <w:r>
        <w:rPr>
          <w:i/>
          <w:color w:val="666666"/>
          <w:sz w:val="18"/>
        </w:rPr>
        <w:t>Stand: 06.09.2026  |  6 Studien  |  klima.m-vf.de</w:t>
      </w:r>
    </w:p>
    <w:p>
      <w:pPr>
        <w:pStyle w:val="Heading1"/>
      </w:pPr>
      <w:r>
        <w:t>Aufgenommen am 06.09.2026</w:t>
      </w:r>
    </w:p>
    <w:p>
      <w:pPr>
        <w:pStyle w:val="Heading2"/>
      </w:pPr>
      <w:r>
        <w:t>Ozon und mögliche Hitzewirkungen auf Herzstillstände außerhalb des Krankenhauses</w:t>
      </w:r>
    </w:p>
    <w:p>
      <w:r>
        <w:rPr>
          <w:i/>
          <w:color w:val="666666"/>
          <w:sz w:val="18"/>
        </w:rPr>
        <w:t>Pan SG et al.  ·  Front Public Health  ·  20.08.2026  ·  PMID 42694417</w:t>
      </w:r>
    </w:p>
    <w:p>
      <w:r>
        <w:t>Eine Zeitreihen-Studie untersucht die kurzfristigen Effekte von Ozonkonzentration und Temperatur auf außerklinische Herzstillstände in Tianjin, China.</w:t>
      </w:r>
    </w:p>
    <w:p>
      <w:r>
        <w:rPr>
          <w:b/>
        </w:rPr>
        <w:t xml:space="preserve">Ergebnis: </w:t>
      </w:r>
      <w:r>
        <w:t>Bei 7.996 Fällen zeigte sich ein monotoner Anstieg des kumulativen Risikos mit der Temperatur bei minimalem Risiko bei –1,9 °C. Ozon war der einzige konsistent mit Herzstillstand assoziierte Schadstoff: jede IQR-Erhöhung (Lag 0–1) korrespondierte mit 15,3% erhöhtem Risiko. Hitze zeigte möglicherweise erhöhtes Risiko bei Lag 1 (RR ≈1,57 am 95. Perzentil), Ozon und Hitze schienen sich gegenseitig zu verstärken (p=0,043).</w:t>
      </w:r>
    </w:p>
    <w:p>
      <w:r>
        <w:rPr>
          <w:b/>
          <w:sz w:val="19"/>
        </w:rPr>
        <w:t xml:space="preserve">Übertragbarkeit: </w:t>
      </w:r>
      <w:r>
        <w:rPr>
          <w:sz w:val="19"/>
        </w:rPr>
        <w:t>Nördliche China, gemäßigtere Klimazonen; Methodik zur Estimierung von Temperatur-Schadstoff-Interaktionen anwendbar</w:t>
      </w:r>
    </w:p>
    <w:p>
      <w:r>
        <w:rPr>
          <w:color w:val="5A7D3A"/>
          <w:sz w:val="18"/>
        </w:rPr>
        <w:t>https://pubmed.ncbi.nlm.nih.gov/42694417/</w:t>
      </w:r>
    </w:p>
    <w:p>
      <w:pPr>
        <w:pStyle w:val="Heading2"/>
      </w:pPr>
      <w:r>
        <w:t>Klimawandel verändert Transmissionsrisiko der Echinokokkose in Westchina</w:t>
      </w:r>
    </w:p>
    <w:p>
      <w:r>
        <w:rPr>
          <w:i/>
          <w:color w:val="666666"/>
          <w:sz w:val="18"/>
        </w:rPr>
        <w:t>Wang X et al.  ·  Infect Dis Poverty  ·  04.09.2026  ·  PMID 42693475</w:t>
      </w:r>
    </w:p>
    <w:p>
      <w:r>
        <w:t>Eine Modellierungsstudie mit MaxEnt-Algorithmen projiziert räumliche und zeitliche Veränderungen der Eignung von Lebensräumen für alveolare und zystische Echinokokkose unter zukünftigen Klimaszenarien bis 2100 in Westchina.</w:t>
      </w:r>
    </w:p>
    <w:p>
      <w:r>
        <w:rPr>
          <w:b/>
        </w:rPr>
        <w:t xml:space="preserve">Ergebnis: </w:t>
      </w:r>
      <w:r>
        <w:t>Die Modelle zeigten hohe Vorhersageleistung (AUC &gt;0,92). Künftige Projektionen offenbaren heterogene räumliche Verschiebungen: Alveolare Echinokokkose verschiebt sich zu höheren Lagen (Expansion in Qinghai und Xizang, Kontraktion in Ningxia und Gansu), während zystische Echinokokkose sich von derzeitigen Endemiegebieten ausdehnt, besonders auf dem Tibetischen Plateau. Qinghai und Xizang identifiziert als Expansions-Hotspots für beide Formen.</w:t>
      </w:r>
    </w:p>
    <w:p>
      <w:r>
        <w:rPr>
          <w:b/>
          <w:sz w:val="19"/>
        </w:rPr>
        <w:t xml:space="preserve">Übertragbarkeit: </w:t>
      </w:r>
      <w:r>
        <w:rPr>
          <w:sz w:val="19"/>
        </w:rPr>
        <w:t>China/Hochgebirge – primär methodisch relevant (MaxEnt-Modellierung); absolute Verschiebungen höhenabhängig, nicht auf Mitteleuropa übertragbar</w:t>
      </w:r>
    </w:p>
    <w:p>
      <w:r>
        <w:rPr>
          <w:color w:val="5A7D3A"/>
          <w:sz w:val="18"/>
        </w:rPr>
        <w:t>https://pubmed.ncbi.nlm.nih.gov/42693475/</w:t>
      </w:r>
    </w:p>
    <w:p>
      <w:pPr>
        <w:pStyle w:val="Heading2"/>
      </w:pPr>
      <w:r>
        <w:t>Inulin schützt vor hitzeschlagartigem Darmbakterien-induziertem Darmbarrierschaden</w:t>
      </w:r>
    </w:p>
    <w:p>
      <w:r>
        <w:rPr>
          <w:i/>
          <w:color w:val="666666"/>
          <w:sz w:val="18"/>
        </w:rPr>
        <w:t>Luo Z et al.  ·  J Agric Food Chem  ·  02.09.2026  ·  PMID 42690769</w:t>
      </w:r>
    </w:p>
    <w:p>
      <w:r>
        <w:t>Eine experimentelle Studie untersucht, wie das Präbiotikum Inulin vor hitzeschlaginduzierten Intestinalschäden durch Modulation der Darm-Mikrobiota schützt – ein mechanistisches Modell für Hitzetoleranz.</w:t>
      </w:r>
    </w:p>
    <w:p>
      <w:r>
        <w:rPr>
          <w:b/>
        </w:rPr>
        <w:t xml:space="preserve">Ergebnis: </w:t>
      </w:r>
      <w:r>
        <w:t>Diätische Inulin-Supplementation (5% über 4 Wochen) senkte die Körperkerntemperatur und Mortalität in einem passiven Hitze-Modell, remodellierte die Darmmikrobiota mit erhöhter Bifidobacterium-Abundance und fäkalem Butyrat. Butyrat aktivierte GPR43 und erhöhte tight-junction-Proteine (Zonula occludens-1, Occludin) über PKC-CREB-Signalweg, verbesserte Barrierenintegrität und reduzierte systemische Entzündung.</w:t>
      </w:r>
    </w:p>
    <w:p>
      <w:r>
        <w:rPr>
          <w:b/>
          <w:sz w:val="19"/>
        </w:rPr>
        <w:t xml:space="preserve">Übertragbarkeit: </w:t>
      </w:r>
      <w:r>
        <w:rPr>
          <w:sz w:val="19"/>
        </w:rPr>
        <w:t>Tiermodell (Maus); Mechanismen der Hitzetoleranz translational interessant, aber keine Human-Health-Intervention mit messbarem Outcome</w:t>
      </w:r>
    </w:p>
    <w:p>
      <w:r>
        <w:rPr>
          <w:color w:val="5A7D3A"/>
          <w:sz w:val="18"/>
        </w:rPr>
        <w:t>https://pubmed.ncbi.nlm.nih.gov/42690769/</w:t>
      </w:r>
    </w:p>
    <w:p>
      <w:pPr>
        <w:pStyle w:val="Heading2"/>
      </w:pPr>
      <w:r>
        <w:t>Wirkung von Cool Roofs auf Gesundheit und Wohlbefinden: Überblicksarbeit</w:t>
      </w:r>
    </w:p>
    <w:p>
      <w:r>
        <w:rPr>
          <w:i/>
          <w:color w:val="666666"/>
          <w:sz w:val="18"/>
        </w:rPr>
        <w:t>Bunkley N et al.  ·  Curr Environ Health Rep  ·  03.09.2026  ·  PMID 42690478</w:t>
      </w:r>
    </w:p>
    <w:p>
      <w:r>
        <w:t>Eine Scoping Review systematisiert die Forschung zu Effekten von Kühldächern auf Gesundheit und Wohlbefinden in Wohngebäuden als Klimaanpassungsmaßnahme gegen Hitzeexposition.</w:t>
      </w:r>
    </w:p>
    <w:p>
      <w:r>
        <w:rPr>
          <w:b/>
        </w:rPr>
        <w:t xml:space="preserve">Ergebnis: </w:t>
      </w:r>
      <w:r>
        <w:t>Von 14 eingeschlossenen Publikationen (alle Modellierungsstudien) prognostizierten 71% Effekte auf die Hitze-Insel-Milderung und Gesundheit. 93% der bewerteten Populationen waren in Hocheinkommensländern ansässig. Geschätzte Gesundheitsvorteile variierten breit über Studien hinweg je nach Kontext, Methodik und Ergebnismaße. Kritische Erkenntnislücken: empirische Evidenz fehlt, Niedrig-Ressourcen-Studien sind unterrepräsentiert.</w:t>
      </w:r>
    </w:p>
    <w:p>
      <w:r>
        <w:rPr>
          <w:b/>
          <w:sz w:val="19"/>
        </w:rPr>
        <w:t xml:space="preserve">Übertragbarkeit: </w:t>
      </w:r>
      <w:r>
        <w:rPr>
          <w:sz w:val="19"/>
        </w:rPr>
        <w:t>Passive Kühlungsmaßnahmen; Deutschland/Europa – gemäßigte Klimazone; bislang nur Modellierungen, keine empirischen Belege</w:t>
      </w:r>
    </w:p>
    <w:p>
      <w:r>
        <w:rPr>
          <w:color w:val="5A7D3A"/>
          <w:sz w:val="18"/>
        </w:rPr>
        <w:t>https://pubmed.ncbi.nlm.nih.gov/42690478/</w:t>
      </w:r>
    </w:p>
    <w:p>
      <w:pPr>
        <w:pStyle w:val="Heading2"/>
      </w:pPr>
      <w:r>
        <w:t>Ozonexposition und Notaufnahmebesuche bei Menschen mit Beeinträchtigungen in Südkorea</w:t>
      </w:r>
    </w:p>
    <w:p>
      <w:r>
        <w:rPr>
          <w:i/>
          <w:color w:val="666666"/>
          <w:sz w:val="18"/>
        </w:rPr>
        <w:t>Park J et al.  ·  Int J Epidemiol  ·  18.08.2026  ·  PMID 42685291</w:t>
      </w:r>
    </w:p>
    <w:p>
      <w:r>
        <w:t>Eine bundesweite Fall-Crossover-Studie untersucht die Assoziationen zwischen Ozonexposition und Notaufnahmebesuchen stratifiziert nach Beeinträchtigungsstatus und -typ in Südkorea.</w:t>
      </w:r>
    </w:p>
    <w:p>
      <w:r>
        <w:rPr>
          <w:b/>
        </w:rPr>
        <w:t xml:space="preserve">Ergebnis: </w:t>
      </w:r>
      <w:r>
        <w:t>Bei 3.484.877 Notaufnahmebesuchen war eine IQR-Erhöhung (~22 ppb) des 8-Stunden-Maximum-Ozons (Lag 0–2) mit 1,94% Anstieg der ED-Besuche in der Warm-Saison und 1,93% ganzjährig bei Personen mit Beeinträchtigungen assoziiert – höher als bei Personen ohne Beeinträchtigungen (1,36% und 1,42%). Größere Risiken bei Hirnschäden, Entwicklungs- und psychischen Beeinträchtigungen sowie an Tagen mit hohen Temperaturen.</w:t>
      </w:r>
    </w:p>
    <w:p>
      <w:r>
        <w:rPr>
          <w:b/>
          <w:sz w:val="19"/>
        </w:rPr>
        <w:t xml:space="preserve">Übertragbarkeit: </w:t>
      </w:r>
      <w:r>
        <w:rPr>
          <w:sz w:val="19"/>
        </w:rPr>
        <w:t>Südkorea, gemäßigte Klimazone, strukturell vergleichbar; Vulnerable Gruppen klar identifiziert</w:t>
      </w:r>
    </w:p>
    <w:p>
      <w:r>
        <w:rPr>
          <w:color w:val="5A7D3A"/>
          <w:sz w:val="18"/>
        </w:rPr>
        <w:t>https://pubmed.ncbi.nlm.nih.gov/42685291/</w:t>
      </w:r>
    </w:p>
    <w:p>
      <w:pPr>
        <w:pStyle w:val="Heading2"/>
      </w:pPr>
      <w:r>
        <w:t>Hitzeadaptation durch Baumaßnahmen und Aufklärung in ländlichen Gebieten Pakistans: Randomisierte Kontrollstudie</w:t>
      </w:r>
    </w:p>
    <w:p>
      <w:r>
        <w:rPr>
          <w:i/>
          <w:color w:val="666666"/>
          <w:sz w:val="18"/>
        </w:rPr>
        <w:t>Das JK et al.  ·  BMJ Open  ·  31.08.2026  ·  PMID 42674797</w:t>
      </w:r>
    </w:p>
    <w:p>
      <w:r>
        <w:t>Eine Cluster-randomisierte Studie in ländlichen Gebieten Pakistans evaluiert die Wirksamkeit eines Pakets struktureller und verhaltensbezogener Interventionen zur Reduktion hitzebedingter Morbidität und Mortalität.</w:t>
      </w:r>
    </w:p>
    <w:p>
      <w:r>
        <w:rPr>
          <w:b/>
        </w:rPr>
        <w:t xml:space="preserve">Ergebnis: </w:t>
      </w:r>
      <w:r>
        <w:t>Das Studienprotokoll beschreibt geplante Maßnahmen (Dach- und Wandbehandlungen, Verschattung, verbesserte Belüftung, nachhaltige Energieinstallationen, gemeinschaftliche Schutzplätze) an 22 Dorf-Clustern. Datenerfassung erfolgt durch Haushaltsbefragungen, tragbare Geräte und Umweltsensoren zur Messung individueller Hitzeexposition und thermischer Bedingungen. Hauptziel ist die Reduktion von Hitze-bedingter Morbidität und Mortalität.</w:t>
      </w:r>
    </w:p>
    <w:p>
      <w:r>
        <w:rPr>
          <w:b/>
          <w:sz w:val="19"/>
        </w:rPr>
        <w:t xml:space="preserve">Übertragbarkeit: </w:t>
      </w:r>
      <w:r>
        <w:rPr>
          <w:sz w:val="19"/>
        </w:rPr>
        <w:t>Pakistan unter extremer Hitze (&gt;40°C); Methodik und Strukturmaßnahmen auf ähnliche gemäßigte Klimazonen übertragbar</w:t>
      </w:r>
    </w:p>
    <w:p>
      <w:r>
        <w:rPr>
          <w:color w:val="5A7D3A"/>
          <w:sz w:val="18"/>
        </w:rPr>
        <w:t>https://pubmed.ncbi.nlm.nih.gov/42674797/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Hitze, Klima und Gesundheit</dc:title>
  <dc:subject/>
  <dc:creator>Monitor Versorgungsforschung</dc:creator>
  <cp:keywords/>
  <dc:description>generated by python-docx</dc:description>
  <cp:lastModifiedBy/>
  <cp:revision>1</cp:revision>
  <dcterms:created xsi:type="dcterms:W3CDTF">2026-09-06T06:00:00Z</dcterms:created>
  <dcterms:modified xsi:type="dcterms:W3CDTF">2026-09-06T06:00:00Z</dcterms:modified>
  <cp:category/>
</cp:coreProperties>
</file>