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26.08.2026  |  1 Studien  |  klima.m-vf.de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Hitzebelastung und Gebäudekühlung in heißfeuchten Städten: Szenarien bis 2100</w:t>
      </w:r>
    </w:p>
    <w:p>
      <w:r>
        <w:rPr>
          <w:i/>
          <w:color w:val="666666"/>
          <w:sz w:val="18"/>
        </w:rPr>
        <w:t>Yang J et al.  ·  Int J Biometeorol  ·  17.08.2026  ·  PMID 42606613</w:t>
      </w:r>
    </w:p>
    <w:p>
      <w:r>
        <w:t>Simulationsgestützte Analyse zukünftiger Hitzewellen auf Außenthermalkomfort und Gebäudeenergiebedarf in fünf Wohngebietstypen Guangzhous.</w:t>
      </w:r>
    </w:p>
    <w:p>
      <w:r>
        <w:rPr>
          <w:b/>
        </w:rPr>
        <w:t xml:space="preserve">Ergebnis: </w:t>
      </w:r>
      <w:r>
        <w:t>Extreme Hitzewellenszenario (SSP5-8.5): Physiologisch-äquivalente Temperatur steigt &gt;11 °C; über 95% der Flächen mit geringem Grünflächenanteil stark hitzebelastet. Innenraumtemperaturen &gt;36,7 °C mittags, &gt;32 °C nachts (unzureichende nächtliche Auskühlung). Kühlenergiebedarf um 6,1–8,5% (SSP1-2.6), 26,0–26,8% (SSP2-4.5), 10,9–14,7% (SSP3-7.0) bis Jahrhundert­ende. Unterschiedliche urbane Formen zeigen divergente Wärmevulnerabilität.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Südchina (subtropisch) – Methodik übertragbar, Temperaturschwellen nicht, urbane Hitzeadaptation relevant</w:t>
      </w:r>
    </w:p>
    <w:p>
      <w:r>
        <w:rPr>
          <w:color w:val="5A7D3A"/>
          <w:sz w:val="18"/>
        </w:rPr>
        <w:t>https://pubmed.ncbi.nlm.nih.gov/42606613/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2026-08-26T06:00:00Z</dcterms:created>
  <dcterms:modified xsi:type="dcterms:W3CDTF">2026-08-26T06:00:00Z</dcterms:modified>
  <cp:category/>
</cp:coreProperties>
</file>